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622" w:rsidRPr="00435E5A" w:rsidRDefault="009B5622" w:rsidP="009B5622">
      <w:pPr>
        <w:tabs>
          <w:tab w:val="left" w:pos="709"/>
        </w:tabs>
        <w:spacing w:line="360" w:lineRule="auto"/>
        <w:ind w:left="-284"/>
        <w:jc w:val="both"/>
        <w:rPr>
          <w:rFonts w:ascii="Arial" w:hAnsi="Arial" w:cs="Arial"/>
          <w:color w:val="000000" w:themeColor="text1"/>
        </w:rPr>
      </w:pPr>
    </w:p>
    <w:p w:rsidR="009B5622" w:rsidRPr="00435E5A" w:rsidRDefault="009B5622" w:rsidP="009B5622">
      <w:pPr>
        <w:pStyle w:val="Ttulo"/>
        <w:rPr>
          <w:rFonts w:ascii="Arial" w:hAnsi="Arial" w:cs="Arial"/>
          <w:b w:val="0"/>
          <w:color w:val="000000" w:themeColor="text1"/>
          <w:sz w:val="24"/>
          <w:szCs w:val="24"/>
          <w:u w:val="none"/>
          <w:lang w:val="pt-BR"/>
        </w:rPr>
      </w:pPr>
      <w:r w:rsidRPr="00435E5A">
        <w:rPr>
          <w:rFonts w:ascii="Arial" w:hAnsi="Arial" w:cs="Arial"/>
          <w:b w:val="0"/>
          <w:color w:val="000000" w:themeColor="text1"/>
          <w:sz w:val="24"/>
          <w:szCs w:val="24"/>
          <w:u w:val="none"/>
          <w:lang w:val="pt-BR"/>
        </w:rPr>
        <w:t xml:space="preserve">GOVERNO DE MATO GROSSO </w:t>
      </w:r>
    </w:p>
    <w:p w:rsidR="009B5622" w:rsidRPr="00435E5A" w:rsidRDefault="009B5622" w:rsidP="009B5622">
      <w:pPr>
        <w:rPr>
          <w:rFonts w:ascii="Arial" w:hAnsi="Arial" w:cs="Arial"/>
          <w:color w:val="000000" w:themeColor="text1"/>
        </w:rPr>
      </w:pPr>
    </w:p>
    <w:p w:rsidR="009B5622" w:rsidRPr="00435E5A" w:rsidRDefault="009B5622" w:rsidP="009B5622">
      <w:pPr>
        <w:rPr>
          <w:rFonts w:ascii="Arial" w:hAnsi="Arial" w:cs="Arial"/>
          <w:color w:val="000000" w:themeColor="text1"/>
        </w:rPr>
      </w:pPr>
    </w:p>
    <w:p w:rsidR="009B5622" w:rsidRPr="00435E5A" w:rsidRDefault="009B5622" w:rsidP="009B5622">
      <w:pPr>
        <w:rPr>
          <w:rFonts w:ascii="Arial" w:hAnsi="Arial" w:cs="Arial"/>
          <w:color w:val="000000" w:themeColor="text1"/>
        </w:rPr>
      </w:pPr>
    </w:p>
    <w:p w:rsidR="009B5622" w:rsidRPr="00435E5A" w:rsidRDefault="009B5622" w:rsidP="009B5622">
      <w:pPr>
        <w:rPr>
          <w:rFonts w:ascii="Arial" w:hAnsi="Arial" w:cs="Arial"/>
          <w:color w:val="000000" w:themeColor="text1"/>
        </w:rPr>
      </w:pPr>
    </w:p>
    <w:p w:rsidR="009B5622" w:rsidRPr="00435E5A" w:rsidRDefault="009B5622" w:rsidP="009B5622">
      <w:pPr>
        <w:rPr>
          <w:rFonts w:ascii="Arial" w:hAnsi="Arial" w:cs="Arial"/>
          <w:color w:val="000000" w:themeColor="text1"/>
        </w:rPr>
      </w:pPr>
    </w:p>
    <w:p w:rsidR="009B5622" w:rsidRPr="00435E5A" w:rsidRDefault="009B5622" w:rsidP="009B5622">
      <w:pPr>
        <w:rPr>
          <w:rFonts w:ascii="Arial" w:hAnsi="Arial" w:cs="Arial"/>
          <w:color w:val="000000" w:themeColor="text1"/>
        </w:rPr>
      </w:pPr>
    </w:p>
    <w:p w:rsidR="009B5622" w:rsidRPr="00435E5A" w:rsidRDefault="009B5622" w:rsidP="009B5622">
      <w:pPr>
        <w:rPr>
          <w:rFonts w:ascii="Arial" w:hAnsi="Arial" w:cs="Arial"/>
          <w:color w:val="000000" w:themeColor="text1"/>
        </w:rPr>
      </w:pPr>
    </w:p>
    <w:p w:rsidR="009B5622" w:rsidRPr="00435E5A" w:rsidRDefault="009B5622" w:rsidP="009B5622">
      <w:pPr>
        <w:rPr>
          <w:rFonts w:ascii="Arial" w:hAnsi="Arial" w:cs="Arial"/>
          <w:color w:val="000000" w:themeColor="text1"/>
        </w:rPr>
      </w:pPr>
    </w:p>
    <w:p w:rsidR="009B5622" w:rsidRPr="00435E5A" w:rsidRDefault="009B5622" w:rsidP="009B5622">
      <w:pPr>
        <w:rPr>
          <w:rFonts w:ascii="Arial" w:hAnsi="Arial" w:cs="Arial"/>
          <w:color w:val="000000" w:themeColor="text1"/>
        </w:rPr>
      </w:pPr>
    </w:p>
    <w:p w:rsidR="009B5622" w:rsidRPr="00435E5A" w:rsidRDefault="009B5622" w:rsidP="009B5622">
      <w:pPr>
        <w:rPr>
          <w:rFonts w:ascii="Arial" w:hAnsi="Arial" w:cs="Arial"/>
          <w:color w:val="000000" w:themeColor="text1"/>
        </w:rPr>
      </w:pPr>
    </w:p>
    <w:p w:rsidR="009B5622" w:rsidRPr="00435E5A" w:rsidRDefault="009B5622" w:rsidP="009B5622">
      <w:pPr>
        <w:rPr>
          <w:rFonts w:ascii="Arial" w:hAnsi="Arial" w:cs="Arial"/>
          <w:color w:val="000000" w:themeColor="text1"/>
        </w:rPr>
      </w:pPr>
    </w:p>
    <w:p w:rsidR="009B5622" w:rsidRPr="00435E5A" w:rsidRDefault="009B5622" w:rsidP="009B5622">
      <w:pPr>
        <w:rPr>
          <w:rFonts w:ascii="Arial" w:hAnsi="Arial" w:cs="Arial"/>
          <w:color w:val="000000" w:themeColor="text1"/>
        </w:rPr>
      </w:pPr>
    </w:p>
    <w:p w:rsidR="009B5622" w:rsidRPr="00435E5A" w:rsidRDefault="009B5622" w:rsidP="009B5622">
      <w:pPr>
        <w:rPr>
          <w:rFonts w:ascii="Arial" w:hAnsi="Arial" w:cs="Arial"/>
          <w:color w:val="000000" w:themeColor="text1"/>
        </w:rPr>
      </w:pPr>
    </w:p>
    <w:p w:rsidR="009B5622" w:rsidRPr="00435E5A" w:rsidRDefault="009B5622" w:rsidP="009B5622">
      <w:pPr>
        <w:rPr>
          <w:rFonts w:ascii="Arial" w:hAnsi="Arial" w:cs="Arial"/>
          <w:color w:val="000000" w:themeColor="text1"/>
        </w:rPr>
      </w:pPr>
    </w:p>
    <w:p w:rsidR="009B5622" w:rsidRPr="00435E5A" w:rsidRDefault="009B5622" w:rsidP="009B5622">
      <w:pPr>
        <w:rPr>
          <w:rFonts w:ascii="Arial" w:hAnsi="Arial" w:cs="Arial"/>
          <w:color w:val="000000" w:themeColor="text1"/>
        </w:rPr>
      </w:pPr>
    </w:p>
    <w:p w:rsidR="009B5622" w:rsidRPr="00435E5A" w:rsidRDefault="009B5622" w:rsidP="009B5622">
      <w:pPr>
        <w:rPr>
          <w:rFonts w:ascii="Arial" w:hAnsi="Arial" w:cs="Arial"/>
          <w:color w:val="000000" w:themeColor="text1"/>
        </w:rPr>
      </w:pPr>
    </w:p>
    <w:p w:rsidR="009B5622" w:rsidRPr="00435E5A" w:rsidRDefault="009B5622" w:rsidP="009B5622">
      <w:pPr>
        <w:rPr>
          <w:rFonts w:ascii="Arial" w:hAnsi="Arial" w:cs="Arial"/>
          <w:color w:val="000000" w:themeColor="text1"/>
        </w:rPr>
      </w:pPr>
    </w:p>
    <w:p w:rsidR="009B5622" w:rsidRPr="00435E5A" w:rsidRDefault="009B5622" w:rsidP="009B5622">
      <w:pPr>
        <w:rPr>
          <w:rFonts w:ascii="Arial" w:hAnsi="Arial" w:cs="Arial"/>
          <w:color w:val="000000" w:themeColor="text1"/>
        </w:rPr>
      </w:pPr>
    </w:p>
    <w:p w:rsidR="009B5622" w:rsidRPr="009B5622" w:rsidRDefault="009B5622" w:rsidP="009B5622">
      <w:pPr>
        <w:tabs>
          <w:tab w:val="left" w:leader="dot" w:pos="9072"/>
        </w:tabs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</w:p>
    <w:p w:rsidR="009B5622" w:rsidRPr="009B5622" w:rsidRDefault="009B5622" w:rsidP="009B5622">
      <w:pPr>
        <w:tabs>
          <w:tab w:val="left" w:leader="dot" w:pos="9072"/>
        </w:tabs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MEMORIAL DESCRITIVO </w:t>
      </w:r>
      <w:r w:rsidRPr="009B5622">
        <w:rPr>
          <w:rFonts w:ascii="Arial" w:hAnsi="Arial" w:cs="Arial"/>
          <w:sz w:val="24"/>
          <w:szCs w:val="24"/>
        </w:rPr>
        <w:t xml:space="preserve">CENTRAL DE GÁS LIQÜEFEITO DE PETRÓLEO - GLP </w:t>
      </w:r>
      <w:r w:rsidRPr="00FB4B33">
        <w:rPr>
          <w:rFonts w:ascii="Arial" w:hAnsi="Arial" w:cs="Arial"/>
          <w:sz w:val="24"/>
          <w:szCs w:val="24"/>
        </w:rPr>
        <w:t xml:space="preserve">E.E </w:t>
      </w:r>
      <w:r w:rsidR="00E46D65">
        <w:rPr>
          <w:rFonts w:ascii="Arial" w:hAnsi="Arial" w:cs="Arial"/>
          <w:sz w:val="24"/>
          <w:szCs w:val="24"/>
        </w:rPr>
        <w:t xml:space="preserve">SOUZA LIMA </w:t>
      </w:r>
      <w:r w:rsidRPr="00FB4B33">
        <w:rPr>
          <w:rFonts w:ascii="Arial" w:hAnsi="Arial" w:cs="Arial"/>
          <w:sz w:val="24"/>
          <w:szCs w:val="24"/>
        </w:rPr>
        <w:t xml:space="preserve"> </w:t>
      </w:r>
    </w:p>
    <w:p w:rsidR="009B5622" w:rsidRPr="00435E5A" w:rsidRDefault="009B5622" w:rsidP="009B5622">
      <w:pPr>
        <w:rPr>
          <w:rFonts w:ascii="Arial" w:hAnsi="Arial" w:cs="Arial"/>
          <w:color w:val="000000" w:themeColor="text1"/>
        </w:rPr>
      </w:pPr>
    </w:p>
    <w:p w:rsidR="009B5622" w:rsidRPr="00435E5A" w:rsidRDefault="009B5622" w:rsidP="009B5622">
      <w:pPr>
        <w:rPr>
          <w:rFonts w:ascii="Arial" w:hAnsi="Arial" w:cs="Arial"/>
          <w:color w:val="000000" w:themeColor="text1"/>
        </w:rPr>
      </w:pPr>
    </w:p>
    <w:p w:rsidR="009B5622" w:rsidRPr="00435E5A" w:rsidRDefault="009B5622" w:rsidP="009B5622">
      <w:pPr>
        <w:rPr>
          <w:rFonts w:ascii="Arial" w:hAnsi="Arial" w:cs="Arial"/>
          <w:color w:val="000000" w:themeColor="text1"/>
        </w:rPr>
      </w:pPr>
    </w:p>
    <w:p w:rsidR="009B5622" w:rsidRPr="00435E5A" w:rsidRDefault="009B5622" w:rsidP="009B5622">
      <w:pPr>
        <w:rPr>
          <w:rFonts w:ascii="Arial" w:hAnsi="Arial" w:cs="Arial"/>
          <w:color w:val="000000" w:themeColor="text1"/>
        </w:rPr>
      </w:pPr>
      <w:bookmarkStart w:id="0" w:name="_GoBack"/>
      <w:bookmarkEnd w:id="0"/>
    </w:p>
    <w:p w:rsidR="009B5622" w:rsidRPr="00435E5A" w:rsidRDefault="009B5622" w:rsidP="009B5622">
      <w:pPr>
        <w:rPr>
          <w:rFonts w:ascii="Arial" w:hAnsi="Arial" w:cs="Arial"/>
          <w:color w:val="000000" w:themeColor="text1"/>
        </w:rPr>
      </w:pPr>
    </w:p>
    <w:p w:rsidR="009B5622" w:rsidRPr="00435E5A" w:rsidRDefault="009B5622" w:rsidP="009B5622">
      <w:pPr>
        <w:rPr>
          <w:rFonts w:ascii="Arial" w:hAnsi="Arial" w:cs="Arial"/>
          <w:color w:val="000000" w:themeColor="text1"/>
        </w:rPr>
      </w:pPr>
    </w:p>
    <w:p w:rsidR="009B5622" w:rsidRPr="00435E5A" w:rsidRDefault="009B5622" w:rsidP="009B5622">
      <w:pPr>
        <w:rPr>
          <w:rFonts w:ascii="Arial" w:hAnsi="Arial" w:cs="Arial"/>
          <w:color w:val="000000" w:themeColor="text1"/>
        </w:rPr>
      </w:pPr>
    </w:p>
    <w:p w:rsidR="009B5622" w:rsidRPr="00435E5A" w:rsidRDefault="009B5622" w:rsidP="009B5622">
      <w:pPr>
        <w:rPr>
          <w:rFonts w:ascii="Arial" w:hAnsi="Arial" w:cs="Arial"/>
          <w:color w:val="000000" w:themeColor="text1"/>
        </w:rPr>
      </w:pPr>
    </w:p>
    <w:p w:rsidR="009B5622" w:rsidRPr="00435E5A" w:rsidRDefault="009B5622" w:rsidP="009B5622">
      <w:pPr>
        <w:rPr>
          <w:rFonts w:ascii="Arial" w:hAnsi="Arial" w:cs="Arial"/>
          <w:color w:val="000000" w:themeColor="text1"/>
        </w:rPr>
      </w:pPr>
    </w:p>
    <w:p w:rsidR="009B5622" w:rsidRPr="00435E5A" w:rsidRDefault="009B5622" w:rsidP="009B5622">
      <w:pPr>
        <w:rPr>
          <w:rFonts w:ascii="Arial" w:hAnsi="Arial" w:cs="Arial"/>
          <w:color w:val="000000" w:themeColor="text1"/>
        </w:rPr>
      </w:pPr>
    </w:p>
    <w:p w:rsidR="009B5622" w:rsidRPr="00435E5A" w:rsidRDefault="009B5622" w:rsidP="009B5622">
      <w:pPr>
        <w:rPr>
          <w:rFonts w:ascii="Arial" w:hAnsi="Arial" w:cs="Arial"/>
          <w:color w:val="000000" w:themeColor="text1"/>
        </w:rPr>
      </w:pPr>
    </w:p>
    <w:p w:rsidR="009B5622" w:rsidRPr="00435E5A" w:rsidRDefault="009B5622" w:rsidP="009B5622">
      <w:pPr>
        <w:rPr>
          <w:rFonts w:ascii="Arial" w:hAnsi="Arial" w:cs="Arial"/>
          <w:color w:val="000000" w:themeColor="text1"/>
        </w:rPr>
      </w:pPr>
    </w:p>
    <w:p w:rsidR="009B5622" w:rsidRPr="00435E5A" w:rsidRDefault="009B5622" w:rsidP="009B5622">
      <w:pPr>
        <w:rPr>
          <w:rFonts w:ascii="Arial" w:hAnsi="Arial" w:cs="Arial"/>
          <w:color w:val="000000" w:themeColor="text1"/>
        </w:rPr>
      </w:pPr>
    </w:p>
    <w:p w:rsidR="009B5622" w:rsidRPr="00435E5A" w:rsidRDefault="009B5622" w:rsidP="009B5622">
      <w:pPr>
        <w:rPr>
          <w:rFonts w:ascii="Arial" w:hAnsi="Arial" w:cs="Arial"/>
          <w:color w:val="000000" w:themeColor="text1"/>
        </w:rPr>
      </w:pPr>
    </w:p>
    <w:p w:rsidR="009B5622" w:rsidRPr="00435E5A" w:rsidRDefault="009B5622" w:rsidP="009B5622">
      <w:pPr>
        <w:rPr>
          <w:rFonts w:ascii="Arial" w:hAnsi="Arial" w:cs="Arial"/>
          <w:color w:val="000000" w:themeColor="text1"/>
        </w:rPr>
      </w:pPr>
    </w:p>
    <w:p w:rsidR="009B5622" w:rsidRPr="00435E5A" w:rsidRDefault="009B5622" w:rsidP="009B5622">
      <w:pPr>
        <w:rPr>
          <w:rFonts w:ascii="Arial" w:hAnsi="Arial" w:cs="Arial"/>
          <w:color w:val="000000" w:themeColor="text1"/>
        </w:rPr>
      </w:pPr>
    </w:p>
    <w:p w:rsidR="009B5622" w:rsidRDefault="009B5622" w:rsidP="009B5622">
      <w:pPr>
        <w:rPr>
          <w:rFonts w:ascii="Arial" w:hAnsi="Arial" w:cs="Arial"/>
          <w:color w:val="000000" w:themeColor="text1"/>
        </w:rPr>
      </w:pPr>
    </w:p>
    <w:p w:rsidR="009B5622" w:rsidRDefault="009B5622" w:rsidP="009B5622">
      <w:pPr>
        <w:rPr>
          <w:rFonts w:ascii="Arial" w:hAnsi="Arial" w:cs="Arial"/>
          <w:color w:val="000000" w:themeColor="text1"/>
        </w:rPr>
      </w:pPr>
    </w:p>
    <w:p w:rsidR="009B5622" w:rsidRDefault="009B5622" w:rsidP="009B5622">
      <w:pPr>
        <w:rPr>
          <w:rFonts w:ascii="Arial" w:hAnsi="Arial" w:cs="Arial"/>
          <w:color w:val="000000" w:themeColor="text1"/>
        </w:rPr>
      </w:pPr>
    </w:p>
    <w:p w:rsidR="009B5622" w:rsidRDefault="009B5622" w:rsidP="009B5622">
      <w:pPr>
        <w:rPr>
          <w:rFonts w:ascii="Arial" w:hAnsi="Arial" w:cs="Arial"/>
          <w:color w:val="000000" w:themeColor="text1"/>
        </w:rPr>
      </w:pPr>
    </w:p>
    <w:p w:rsidR="009B5622" w:rsidRDefault="009B5622" w:rsidP="009B5622">
      <w:pPr>
        <w:rPr>
          <w:rFonts w:ascii="Arial" w:hAnsi="Arial" w:cs="Arial"/>
          <w:color w:val="000000" w:themeColor="text1"/>
        </w:rPr>
      </w:pPr>
    </w:p>
    <w:p w:rsidR="009B5622" w:rsidRDefault="009B5622" w:rsidP="009B5622">
      <w:pPr>
        <w:rPr>
          <w:rFonts w:ascii="Arial" w:hAnsi="Arial" w:cs="Arial"/>
          <w:color w:val="000000" w:themeColor="text1"/>
        </w:rPr>
      </w:pPr>
    </w:p>
    <w:p w:rsidR="009B5622" w:rsidRDefault="009B5622" w:rsidP="009B5622">
      <w:pPr>
        <w:rPr>
          <w:rFonts w:ascii="Arial" w:hAnsi="Arial" w:cs="Arial"/>
          <w:color w:val="000000" w:themeColor="text1"/>
        </w:rPr>
      </w:pPr>
    </w:p>
    <w:p w:rsidR="009B5622" w:rsidRDefault="009B5622" w:rsidP="009B5622">
      <w:pPr>
        <w:rPr>
          <w:rFonts w:ascii="Arial" w:hAnsi="Arial" w:cs="Arial"/>
          <w:color w:val="000000" w:themeColor="text1"/>
        </w:rPr>
      </w:pPr>
    </w:p>
    <w:p w:rsidR="009B5622" w:rsidRDefault="009B5622" w:rsidP="009B5622">
      <w:pPr>
        <w:rPr>
          <w:rFonts w:ascii="Arial" w:hAnsi="Arial" w:cs="Arial"/>
          <w:color w:val="000000" w:themeColor="text1"/>
        </w:rPr>
      </w:pPr>
    </w:p>
    <w:p w:rsidR="009B5622" w:rsidRDefault="009B5622" w:rsidP="009B5622">
      <w:pPr>
        <w:rPr>
          <w:rFonts w:ascii="Arial" w:hAnsi="Arial" w:cs="Arial"/>
          <w:color w:val="000000" w:themeColor="text1"/>
        </w:rPr>
      </w:pPr>
    </w:p>
    <w:p w:rsidR="009B5622" w:rsidRDefault="009B5622" w:rsidP="009B5622">
      <w:pPr>
        <w:rPr>
          <w:rFonts w:ascii="Arial" w:hAnsi="Arial" w:cs="Arial"/>
          <w:color w:val="000000" w:themeColor="text1"/>
        </w:rPr>
      </w:pPr>
    </w:p>
    <w:p w:rsidR="009B5622" w:rsidRPr="00435E5A" w:rsidRDefault="009B5622" w:rsidP="009B5622">
      <w:pPr>
        <w:rPr>
          <w:rFonts w:ascii="Arial" w:hAnsi="Arial" w:cs="Arial"/>
          <w:color w:val="000000" w:themeColor="text1"/>
        </w:rPr>
      </w:pPr>
    </w:p>
    <w:p w:rsidR="009B5622" w:rsidRPr="00435E5A" w:rsidRDefault="009B5622" w:rsidP="009B5622">
      <w:pPr>
        <w:rPr>
          <w:rFonts w:ascii="Arial" w:hAnsi="Arial" w:cs="Arial"/>
          <w:color w:val="000000" w:themeColor="text1"/>
        </w:rPr>
      </w:pPr>
    </w:p>
    <w:p w:rsidR="009B5622" w:rsidRPr="00435E5A" w:rsidRDefault="009B5622" w:rsidP="009B5622">
      <w:pPr>
        <w:rPr>
          <w:rFonts w:ascii="Arial" w:hAnsi="Arial" w:cs="Arial"/>
          <w:color w:val="000000" w:themeColor="text1"/>
        </w:rPr>
      </w:pPr>
    </w:p>
    <w:p w:rsidR="009B5622" w:rsidRPr="00FB4B33" w:rsidRDefault="009B5622" w:rsidP="009B5622">
      <w:pPr>
        <w:rPr>
          <w:rFonts w:ascii="Arial" w:hAnsi="Arial" w:cs="Arial"/>
        </w:rPr>
      </w:pPr>
    </w:p>
    <w:p w:rsidR="009B5622" w:rsidRPr="00FB4B33" w:rsidRDefault="009B5622" w:rsidP="009B5622">
      <w:pPr>
        <w:pStyle w:val="Subttulo"/>
        <w:jc w:val="center"/>
        <w:rPr>
          <w:rFonts w:ascii="Arial" w:hAnsi="Arial" w:cs="Arial"/>
          <w:color w:val="auto"/>
          <w:sz w:val="24"/>
          <w:szCs w:val="24"/>
        </w:rPr>
      </w:pPr>
      <w:r w:rsidRPr="00FB4B33">
        <w:rPr>
          <w:rFonts w:ascii="Arial" w:hAnsi="Arial" w:cs="Arial"/>
          <w:color w:val="auto"/>
          <w:sz w:val="24"/>
          <w:szCs w:val="24"/>
        </w:rPr>
        <w:t xml:space="preserve">CUIABÁ, </w:t>
      </w:r>
      <w:r>
        <w:rPr>
          <w:rFonts w:ascii="Arial" w:hAnsi="Arial" w:cs="Arial"/>
          <w:color w:val="auto"/>
          <w:sz w:val="24"/>
          <w:szCs w:val="24"/>
        </w:rPr>
        <w:t>ABRIL</w:t>
      </w:r>
      <w:r w:rsidRPr="00FB4B33">
        <w:rPr>
          <w:rFonts w:ascii="Arial" w:hAnsi="Arial" w:cs="Arial"/>
          <w:color w:val="auto"/>
          <w:sz w:val="24"/>
          <w:szCs w:val="24"/>
        </w:rPr>
        <w:t xml:space="preserve"> DE 2017.</w:t>
      </w:r>
    </w:p>
    <w:p w:rsidR="009C6F15" w:rsidRPr="009C6F15" w:rsidRDefault="009C6F15" w:rsidP="009C6F15">
      <w:pPr>
        <w:tabs>
          <w:tab w:val="left" w:leader="dot" w:pos="9072"/>
        </w:tabs>
        <w:spacing w:before="120" w:after="120" w:line="360" w:lineRule="auto"/>
        <w:jc w:val="center"/>
        <w:rPr>
          <w:rFonts w:ascii="Arial" w:hAnsi="Arial"/>
          <w:b/>
          <w:bCs/>
          <w:color w:val="0000FF"/>
        </w:rPr>
      </w:pPr>
      <w:r w:rsidRPr="009C6F15">
        <w:rPr>
          <w:rFonts w:ascii="Arial" w:hAnsi="Arial"/>
          <w:b/>
          <w:bCs/>
          <w:color w:val="0000FF"/>
        </w:rPr>
        <w:lastRenderedPageBreak/>
        <w:t>CENTRAL DE GÁS LIQÜEFEITO DE PETRÓLEO</w:t>
      </w:r>
      <w:r w:rsidR="001A71B0">
        <w:rPr>
          <w:rFonts w:ascii="Arial" w:hAnsi="Arial"/>
          <w:b/>
          <w:bCs/>
          <w:color w:val="0000FF"/>
        </w:rPr>
        <w:t xml:space="preserve"> - GLP</w:t>
      </w:r>
    </w:p>
    <w:p w:rsidR="009C6F15" w:rsidRPr="001A71B0" w:rsidRDefault="009C6F15" w:rsidP="001A71B0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  <w:bCs/>
        </w:rPr>
      </w:pPr>
    </w:p>
    <w:p w:rsidR="00DB6B99" w:rsidRDefault="00DB6B99" w:rsidP="00DB6B99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FF"/>
        </w:rPr>
      </w:pPr>
      <w:r w:rsidRPr="00DB6B99">
        <w:rPr>
          <w:rFonts w:ascii="Arial" w:hAnsi="Arial" w:cs="Arial"/>
          <w:b/>
          <w:bCs/>
          <w:color w:val="0000FF"/>
        </w:rPr>
        <w:t>OBJETIVO:</w:t>
      </w:r>
    </w:p>
    <w:p w:rsidR="00D449A5" w:rsidRPr="00DB6B99" w:rsidRDefault="00D449A5" w:rsidP="00D449A5">
      <w:pPr>
        <w:pStyle w:val="PargrafodaLista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FF"/>
        </w:rPr>
      </w:pPr>
    </w:p>
    <w:p w:rsidR="009C6F15" w:rsidRDefault="009C6F15" w:rsidP="001A71B0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</w:rPr>
      </w:pPr>
      <w:r w:rsidRPr="001A71B0">
        <w:rPr>
          <w:rFonts w:ascii="Arial" w:hAnsi="Arial" w:cs="Arial"/>
        </w:rPr>
        <w:t>O presente documento apresenta o descritivo do projeto básico das Instalações de gás liquefeito de petróleo (GLP),</w:t>
      </w:r>
      <w:r w:rsidR="001A71B0" w:rsidRPr="001A71B0">
        <w:rPr>
          <w:rFonts w:ascii="Arial" w:hAnsi="Arial" w:cs="Arial"/>
        </w:rPr>
        <w:t xml:space="preserve"> conforme as regras da </w:t>
      </w:r>
      <w:r w:rsidRPr="001A71B0">
        <w:rPr>
          <w:rFonts w:ascii="Arial" w:hAnsi="Arial" w:cs="Arial"/>
        </w:rPr>
        <w:t>ABNT.</w:t>
      </w:r>
      <w:r w:rsidR="001A71B0" w:rsidRPr="001A71B0">
        <w:rPr>
          <w:rFonts w:ascii="Arial" w:hAnsi="Arial" w:cs="Arial"/>
        </w:rPr>
        <w:t xml:space="preserve"> NBR 15358/1</w:t>
      </w:r>
      <w:r w:rsidR="00DB6B99">
        <w:rPr>
          <w:rFonts w:ascii="Arial" w:hAnsi="Arial" w:cs="Arial"/>
        </w:rPr>
        <w:t>4 e</w:t>
      </w:r>
      <w:r w:rsidRPr="001A71B0">
        <w:rPr>
          <w:rFonts w:ascii="Arial" w:hAnsi="Arial" w:cs="Arial"/>
        </w:rPr>
        <w:t xml:space="preserve"> </w:t>
      </w:r>
      <w:r w:rsidR="001A71B0" w:rsidRPr="001A71B0">
        <w:rPr>
          <w:rFonts w:ascii="Arial" w:hAnsi="Arial" w:cs="Arial"/>
        </w:rPr>
        <w:t>NBR 13523/08</w:t>
      </w:r>
      <w:r w:rsidRPr="001A71B0">
        <w:rPr>
          <w:rFonts w:ascii="Arial" w:hAnsi="Arial" w:cs="Arial"/>
        </w:rPr>
        <w:t>.</w:t>
      </w:r>
    </w:p>
    <w:p w:rsidR="00DB6B99" w:rsidRDefault="00DB6B99" w:rsidP="001A71B0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</w:rPr>
      </w:pPr>
      <w:r w:rsidRPr="001A71B0">
        <w:rPr>
          <w:rFonts w:ascii="Arial" w:hAnsi="Arial" w:cs="Arial"/>
        </w:rPr>
        <w:t>NBR 15358/1</w:t>
      </w:r>
      <w:r>
        <w:rPr>
          <w:rFonts w:ascii="Arial" w:hAnsi="Arial" w:cs="Arial"/>
        </w:rPr>
        <w:t xml:space="preserve">4 – Rede de distribuição interna para gás combustível em instalações de uso não residencial de até 400kPa – Projeto e execução </w:t>
      </w:r>
    </w:p>
    <w:p w:rsidR="00DB6B99" w:rsidRPr="001A71B0" w:rsidRDefault="00DB6B99" w:rsidP="001A71B0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</w:rPr>
      </w:pPr>
      <w:r w:rsidRPr="001A71B0">
        <w:rPr>
          <w:rFonts w:ascii="Arial" w:hAnsi="Arial" w:cs="Arial"/>
        </w:rPr>
        <w:t>NBR 13523/08</w:t>
      </w:r>
      <w:r>
        <w:rPr>
          <w:rFonts w:ascii="Arial" w:hAnsi="Arial" w:cs="Arial"/>
        </w:rPr>
        <w:t xml:space="preserve"> – Central de Gás liquefeito de petróleo - GLP</w:t>
      </w:r>
    </w:p>
    <w:p w:rsidR="009C6F15" w:rsidRPr="001A71B0" w:rsidRDefault="009C6F15" w:rsidP="009C6F1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FF0000"/>
        </w:rPr>
      </w:pPr>
    </w:p>
    <w:p w:rsidR="009C6F15" w:rsidRPr="00DB6B99" w:rsidRDefault="009C6F15" w:rsidP="00DB6B99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FF"/>
        </w:rPr>
      </w:pPr>
      <w:r w:rsidRPr="00DB6B99">
        <w:rPr>
          <w:rFonts w:ascii="Arial" w:hAnsi="Arial" w:cs="Arial"/>
          <w:b/>
          <w:bCs/>
          <w:color w:val="0000FF"/>
        </w:rPr>
        <w:t>PARÂMETROS LEGAIS E NORMATIVOS</w:t>
      </w:r>
    </w:p>
    <w:p w:rsidR="009C6F15" w:rsidRPr="001A71B0" w:rsidRDefault="009C6F15" w:rsidP="009C6F1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</w:rPr>
      </w:pPr>
    </w:p>
    <w:p w:rsidR="009C6F15" w:rsidRPr="006E4141" w:rsidRDefault="006E4141" w:rsidP="009C6F1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6E4141">
        <w:rPr>
          <w:rFonts w:ascii="Arial" w:hAnsi="Arial" w:cs="Arial"/>
        </w:rPr>
        <w:t>A NBR 15358</w:t>
      </w:r>
      <w:r w:rsidR="009C6F15" w:rsidRPr="006E4141">
        <w:rPr>
          <w:rFonts w:ascii="Arial" w:hAnsi="Arial" w:cs="Arial"/>
        </w:rPr>
        <w:t>/12 E NBR 13523</w:t>
      </w:r>
      <w:r w:rsidRPr="006E4141">
        <w:rPr>
          <w:rFonts w:ascii="Arial" w:hAnsi="Arial" w:cs="Arial"/>
        </w:rPr>
        <w:t>/08</w:t>
      </w:r>
      <w:r w:rsidR="009C6F15" w:rsidRPr="006E4141">
        <w:rPr>
          <w:rFonts w:ascii="Arial" w:hAnsi="Arial" w:cs="Arial"/>
        </w:rPr>
        <w:t>, estabelecem critérios para a execução e para projetos de instalação de gás liquefeito de petróleo:</w:t>
      </w:r>
    </w:p>
    <w:p w:rsidR="009C6F15" w:rsidRPr="000D0390" w:rsidRDefault="00A41081" w:rsidP="009C6F1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u w:val="single"/>
        </w:rPr>
      </w:pPr>
      <w:r w:rsidRPr="000D0390">
        <w:rPr>
          <w:rFonts w:ascii="Arial" w:hAnsi="Arial" w:cs="Arial"/>
          <w:bCs/>
        </w:rPr>
        <w:t xml:space="preserve">A </w:t>
      </w:r>
      <w:r w:rsidR="009C6F15" w:rsidRPr="000D0390">
        <w:rPr>
          <w:rFonts w:ascii="Arial" w:hAnsi="Arial" w:cs="Arial"/>
          <w:bCs/>
        </w:rPr>
        <w:t>Central de gás</w:t>
      </w:r>
      <w:r w:rsidR="001E289A" w:rsidRPr="000D0390">
        <w:rPr>
          <w:rFonts w:ascii="Arial" w:hAnsi="Arial" w:cs="Arial"/>
          <w:bCs/>
        </w:rPr>
        <w:t xml:space="preserve"> </w:t>
      </w:r>
      <w:r w:rsidRPr="000D0390">
        <w:rPr>
          <w:rFonts w:ascii="Arial" w:hAnsi="Arial" w:cs="Arial"/>
          <w:bCs/>
        </w:rPr>
        <w:t xml:space="preserve">que usaremos nas escolas </w:t>
      </w:r>
      <w:r w:rsidR="001E289A" w:rsidRPr="000D0390">
        <w:rPr>
          <w:rFonts w:ascii="Arial" w:hAnsi="Arial" w:cs="Arial"/>
          <w:bCs/>
        </w:rPr>
        <w:t>(Padrão SEDUC) vem</w:t>
      </w:r>
      <w:r w:rsidR="009C6F15" w:rsidRPr="000D0390">
        <w:rPr>
          <w:rFonts w:ascii="Arial" w:hAnsi="Arial" w:cs="Arial"/>
          <w:bCs/>
        </w:rPr>
        <w:t xml:space="preserve"> com 02 cilindros com capacidade de </w:t>
      </w:r>
      <w:r w:rsidR="001A71B0" w:rsidRPr="000D0390">
        <w:rPr>
          <w:rFonts w:ascii="Arial" w:hAnsi="Arial" w:cs="Arial"/>
          <w:bCs/>
        </w:rPr>
        <w:t>P</w:t>
      </w:r>
      <w:r w:rsidR="009C6F15" w:rsidRPr="000D0390">
        <w:rPr>
          <w:rFonts w:ascii="Arial" w:hAnsi="Arial" w:cs="Arial"/>
          <w:bCs/>
        </w:rPr>
        <w:t>45, com capacidade volumétrica de 0,09m³ cada.</w:t>
      </w:r>
    </w:p>
    <w:p w:rsidR="009C6F15" w:rsidRPr="000D0390" w:rsidRDefault="009C6F15" w:rsidP="009C6F1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</w:rPr>
      </w:pPr>
      <w:r w:rsidRPr="000D0390">
        <w:rPr>
          <w:rFonts w:ascii="Arial" w:hAnsi="Arial" w:cs="Arial"/>
          <w:bCs/>
        </w:rPr>
        <w:t>Recipiente transportável com capacidade volumétrica total igual ou inferior a 0,5 m³ (aproximadamente 250 kg capacidade de GLP), projetado e construído conforme ABNT NBR 8460, abastecido por massa em base de engarrafamento e transportado cheio para troca.</w:t>
      </w:r>
    </w:p>
    <w:p w:rsidR="00125BA5" w:rsidRDefault="00125BA5" w:rsidP="009C6F1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/>
          <w:bCs/>
          <w:i/>
          <w:color w:val="0000FF"/>
          <w:u w:val="single"/>
        </w:rPr>
      </w:pPr>
    </w:p>
    <w:p w:rsidR="00125BA5" w:rsidRPr="00125BA5" w:rsidRDefault="00125BA5" w:rsidP="009C6F1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/>
          <w:bCs/>
          <w:i/>
          <w:color w:val="0000FF"/>
          <w:u w:val="single"/>
        </w:rPr>
      </w:pPr>
      <w:r w:rsidRPr="00125BA5">
        <w:rPr>
          <w:rFonts w:ascii="Arial" w:hAnsi="Arial" w:cs="Arial"/>
          <w:b/>
          <w:bCs/>
          <w:i/>
          <w:color w:val="0000FF"/>
          <w:u w:val="single"/>
        </w:rPr>
        <w:t>QUANTO AOS MATERIAIS:</w:t>
      </w:r>
    </w:p>
    <w:p w:rsidR="002E7E07" w:rsidRDefault="002E7E07" w:rsidP="009C6F1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</w:p>
    <w:p w:rsidR="002E7E07" w:rsidRPr="00BB335E" w:rsidRDefault="002E7E07" w:rsidP="002E7E07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FF"/>
        </w:rPr>
      </w:pPr>
      <w:r w:rsidRPr="00BB335E">
        <w:rPr>
          <w:rFonts w:ascii="Arial" w:hAnsi="Arial" w:cs="Arial"/>
          <w:b/>
          <w:bCs/>
          <w:color w:val="0000FF"/>
        </w:rPr>
        <w:t>PARA EXECUÇÃO DA REDE DE DISTRIBUIÇÃO INTERNA</w:t>
      </w:r>
    </w:p>
    <w:p w:rsidR="002E7E07" w:rsidRPr="00AA4419" w:rsidRDefault="002E7E07" w:rsidP="002E7E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/>
          <w:bCs/>
          <w:color w:val="000000"/>
        </w:rPr>
      </w:pPr>
      <w:r w:rsidRPr="00AA4419">
        <w:rPr>
          <w:rFonts w:ascii="Arial" w:hAnsi="Arial" w:cs="Arial"/>
          <w:b/>
          <w:bCs/>
          <w:color w:val="000000"/>
        </w:rPr>
        <w:t>Tubos:</w:t>
      </w:r>
    </w:p>
    <w:p w:rsidR="00BB335E" w:rsidRPr="00BB335E" w:rsidRDefault="00125BA5" w:rsidP="00AE0495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  <w:r w:rsidRPr="00BB335E">
        <w:rPr>
          <w:rFonts w:ascii="Arial" w:hAnsi="Arial" w:cs="Arial"/>
          <w:bCs/>
          <w:color w:val="000000"/>
        </w:rPr>
        <w:t>Tubos</w:t>
      </w:r>
      <w:r w:rsidR="00BB335E" w:rsidRPr="00BB335E">
        <w:rPr>
          <w:rFonts w:ascii="Arial" w:hAnsi="Arial" w:cs="Arial"/>
          <w:bCs/>
          <w:color w:val="000000"/>
        </w:rPr>
        <w:t xml:space="preserve"> de condução de aço-carbono, com ou sem costura, conforme ABNT NBR 5580 no mínimo classe média, ABNT NBR 5590 no mínimo classe normal e API 5-L no mínimo grau A com espessura mínima correspondente a SCH40 conforme ANSI/ASME B36.10M;</w:t>
      </w:r>
    </w:p>
    <w:p w:rsidR="00BB335E" w:rsidRPr="00BB335E" w:rsidRDefault="00125BA5" w:rsidP="002011AF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  <w:r w:rsidRPr="00BB335E">
        <w:rPr>
          <w:rFonts w:ascii="Arial" w:hAnsi="Arial" w:cs="Arial"/>
          <w:bCs/>
          <w:color w:val="000000"/>
        </w:rPr>
        <w:t>Tubos</w:t>
      </w:r>
      <w:r w:rsidR="00BB335E" w:rsidRPr="00BB335E">
        <w:rPr>
          <w:rFonts w:ascii="Arial" w:hAnsi="Arial" w:cs="Arial"/>
          <w:bCs/>
          <w:color w:val="000000"/>
        </w:rPr>
        <w:t xml:space="preserve"> de condução de polietileno (PE80 ou PE100), para redes </w:t>
      </w:r>
      <w:r w:rsidRPr="00BB335E">
        <w:rPr>
          <w:rFonts w:ascii="Arial" w:hAnsi="Arial" w:cs="Arial"/>
          <w:bCs/>
          <w:color w:val="000000"/>
        </w:rPr>
        <w:t>enterradas, conforme</w:t>
      </w:r>
      <w:r w:rsidRPr="00125BA5">
        <w:rPr>
          <w:rFonts w:ascii="Arial" w:hAnsi="Arial" w:cs="Arial"/>
          <w:bCs/>
          <w:color w:val="000000"/>
        </w:rPr>
        <w:t xml:space="preserve"> </w:t>
      </w:r>
      <w:r w:rsidR="00BB335E" w:rsidRPr="00BB335E">
        <w:rPr>
          <w:rFonts w:ascii="Arial" w:hAnsi="Arial" w:cs="Arial"/>
          <w:bCs/>
          <w:color w:val="000000"/>
        </w:rPr>
        <w:t>ABNT NBR 14462, somente utilizados</w:t>
      </w:r>
      <w:r w:rsidRPr="00125BA5">
        <w:rPr>
          <w:rFonts w:ascii="Arial" w:hAnsi="Arial" w:cs="Arial"/>
          <w:bCs/>
          <w:color w:val="000000"/>
        </w:rPr>
        <w:t xml:space="preserve"> </w:t>
      </w:r>
      <w:r w:rsidR="00BB335E" w:rsidRPr="00BB335E">
        <w:rPr>
          <w:rFonts w:ascii="Arial" w:hAnsi="Arial" w:cs="Arial"/>
          <w:bCs/>
          <w:color w:val="000000"/>
        </w:rPr>
        <w:t>em trechos enterrados e externos às projeções horizontais das edificações.</w:t>
      </w:r>
    </w:p>
    <w:p w:rsidR="002E7E07" w:rsidRDefault="002E7E07" w:rsidP="002E7E07">
      <w:pPr>
        <w:pStyle w:val="PargrafodaLista"/>
        <w:autoSpaceDE w:val="0"/>
        <w:autoSpaceDN w:val="0"/>
        <w:adjustRightInd w:val="0"/>
        <w:spacing w:line="360" w:lineRule="auto"/>
        <w:ind w:left="1069"/>
        <w:jc w:val="both"/>
        <w:rPr>
          <w:rFonts w:ascii="Arial" w:hAnsi="Arial" w:cs="Arial"/>
          <w:bCs/>
          <w:color w:val="000000"/>
        </w:rPr>
      </w:pPr>
    </w:p>
    <w:p w:rsidR="002E7E07" w:rsidRPr="00BB335E" w:rsidRDefault="002E7E07" w:rsidP="002E7E07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FF"/>
        </w:rPr>
      </w:pPr>
      <w:r w:rsidRPr="00BB335E">
        <w:rPr>
          <w:rFonts w:ascii="Arial" w:hAnsi="Arial" w:cs="Arial"/>
          <w:b/>
          <w:bCs/>
          <w:color w:val="0000FF"/>
        </w:rPr>
        <w:t>PARA A EXCECUÇÃO DAS CONEXÕES</w:t>
      </w:r>
    </w:p>
    <w:p w:rsidR="002E7E07" w:rsidRPr="00AA4419" w:rsidRDefault="002E7E07" w:rsidP="002E7E07">
      <w:pPr>
        <w:pStyle w:val="PargrafodaLista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AA4419">
        <w:rPr>
          <w:rFonts w:ascii="Arial" w:hAnsi="Arial" w:cs="Arial"/>
          <w:b/>
          <w:bCs/>
          <w:color w:val="000000"/>
        </w:rPr>
        <w:t>Conexões:</w:t>
      </w:r>
    </w:p>
    <w:p w:rsidR="00BB335E" w:rsidRPr="00BB335E" w:rsidRDefault="00BB335E" w:rsidP="00BB335E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7"/>
          <w:szCs w:val="27"/>
        </w:rPr>
      </w:pPr>
      <w:r w:rsidRPr="00BB335E">
        <w:rPr>
          <w:rFonts w:ascii="Arial" w:hAnsi="Arial" w:cs="Arial"/>
          <w:bCs/>
          <w:color w:val="000000"/>
        </w:rPr>
        <w:t>Conexões de aço forjado, conforme ASME/ANSI B16.9;</w:t>
      </w:r>
    </w:p>
    <w:p w:rsidR="00BB335E" w:rsidRDefault="00BB335E" w:rsidP="00EB4E6D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  <w:r w:rsidRPr="00BB335E">
        <w:rPr>
          <w:rFonts w:ascii="Arial" w:hAnsi="Arial" w:cs="Arial"/>
          <w:bCs/>
          <w:color w:val="000000"/>
        </w:rPr>
        <w:t xml:space="preserve"> Conexões de ferro fundido maleável, conforme ABNT NBR 6943, ABNT NBR 6925 ou ASME/ANSI B16.3;</w:t>
      </w:r>
    </w:p>
    <w:p w:rsidR="00BB335E" w:rsidRPr="00BB335E" w:rsidRDefault="00BB335E" w:rsidP="000E6371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  <w:r w:rsidRPr="00BB335E">
        <w:rPr>
          <w:rFonts w:ascii="Arial" w:hAnsi="Arial" w:cs="Arial"/>
          <w:bCs/>
          <w:color w:val="000000"/>
        </w:rPr>
        <w:t xml:space="preserve">Conexões de polietileno (PE80 ou PE100) para redes enterradas, conforme ABNT NBR 14463; </w:t>
      </w:r>
    </w:p>
    <w:p w:rsidR="00BB335E" w:rsidRDefault="00BB335E" w:rsidP="00BB335E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  <w:r w:rsidRPr="00BB335E">
        <w:rPr>
          <w:rFonts w:ascii="Arial" w:hAnsi="Arial" w:cs="Arial"/>
          <w:bCs/>
          <w:color w:val="000000"/>
        </w:rPr>
        <w:lastRenderedPageBreak/>
        <w:t xml:space="preserve"> Conexões para transição entre tubos de polietileno e tubos metálicos, para redes enterradas, conforme ASTM D 2513 e ASTM F 1973; </w:t>
      </w:r>
    </w:p>
    <w:p w:rsidR="00BB335E" w:rsidRPr="00BB335E" w:rsidRDefault="00BB335E" w:rsidP="00790F98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7"/>
          <w:szCs w:val="27"/>
        </w:rPr>
      </w:pPr>
      <w:r w:rsidRPr="00BB335E">
        <w:rPr>
          <w:rFonts w:ascii="Arial" w:hAnsi="Arial" w:cs="Arial"/>
          <w:bCs/>
          <w:color w:val="000000"/>
        </w:rPr>
        <w:t>Conexões de ferro fundido maleável com terminais de compressão para uso com tubos de polietileno, ou transição entre tubos de polietileno e tubos metálicos, para redes enterradas, conforme ISO 10838-1 ou DIN 3387.</w:t>
      </w:r>
    </w:p>
    <w:p w:rsidR="002E7E07" w:rsidRPr="002E7E07" w:rsidRDefault="002E7E07" w:rsidP="000A293C">
      <w:pPr>
        <w:pStyle w:val="PargrafodaLista"/>
        <w:autoSpaceDE w:val="0"/>
        <w:autoSpaceDN w:val="0"/>
        <w:adjustRightInd w:val="0"/>
        <w:spacing w:line="360" w:lineRule="auto"/>
        <w:ind w:left="1080"/>
        <w:jc w:val="both"/>
        <w:rPr>
          <w:rFonts w:ascii="Arial" w:hAnsi="Arial" w:cs="Arial"/>
          <w:bCs/>
          <w:color w:val="000000"/>
        </w:rPr>
      </w:pPr>
    </w:p>
    <w:p w:rsidR="000A293C" w:rsidRDefault="00BB335E" w:rsidP="00BB335E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FF"/>
        </w:rPr>
      </w:pPr>
      <w:r w:rsidRPr="00BB335E">
        <w:rPr>
          <w:rFonts w:ascii="Arial" w:hAnsi="Arial" w:cs="Arial"/>
          <w:b/>
          <w:bCs/>
          <w:color w:val="0000FF"/>
        </w:rPr>
        <w:t>ELEMENTOS PARA INTERLIGAÇÃO</w:t>
      </w:r>
    </w:p>
    <w:p w:rsidR="000A293C" w:rsidRDefault="000A293C" w:rsidP="000A293C">
      <w:pPr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  <w:r w:rsidRPr="000A293C">
        <w:rPr>
          <w:rFonts w:ascii="Arial" w:hAnsi="Arial" w:cs="Arial"/>
          <w:bCs/>
          <w:color w:val="000000"/>
        </w:rPr>
        <w:t>Para se efetuar a interligação entre a tubulação e o aparelho a gás, medidor e dispositivos de</w:t>
      </w:r>
      <w:r>
        <w:rPr>
          <w:rFonts w:ascii="Arial" w:hAnsi="Arial" w:cs="Arial"/>
          <w:bCs/>
          <w:color w:val="000000"/>
        </w:rPr>
        <w:t xml:space="preserve"> </w:t>
      </w:r>
      <w:r w:rsidRPr="000A293C">
        <w:rPr>
          <w:rFonts w:ascii="Arial" w:hAnsi="Arial" w:cs="Arial"/>
          <w:bCs/>
          <w:color w:val="000000"/>
        </w:rPr>
        <w:t xml:space="preserve">instrumentação, são admitidos: </w:t>
      </w:r>
    </w:p>
    <w:p w:rsidR="000A293C" w:rsidRPr="000A293C" w:rsidRDefault="000A293C" w:rsidP="00A778BF">
      <w:pPr>
        <w:pStyle w:val="PargrafodaLista"/>
        <w:autoSpaceDE w:val="0"/>
        <w:autoSpaceDN w:val="0"/>
        <w:adjustRightInd w:val="0"/>
        <w:spacing w:line="360" w:lineRule="auto"/>
        <w:ind w:left="1429"/>
        <w:jc w:val="both"/>
        <w:rPr>
          <w:rFonts w:ascii="Arial" w:hAnsi="Arial" w:cs="Arial"/>
          <w:bCs/>
          <w:color w:val="000000"/>
        </w:rPr>
      </w:pPr>
    </w:p>
    <w:p w:rsidR="000A293C" w:rsidRPr="00A778BF" w:rsidRDefault="00BB335E" w:rsidP="00A778BF">
      <w:pPr>
        <w:pStyle w:val="PargrafodaLista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  <w:r w:rsidRPr="00A778BF">
        <w:rPr>
          <w:rFonts w:ascii="Arial" w:hAnsi="Arial" w:cs="Arial"/>
          <w:bCs/>
          <w:color w:val="000000"/>
        </w:rPr>
        <w:t>Mangueiras</w:t>
      </w:r>
      <w:r w:rsidR="000A293C" w:rsidRPr="00A778BF">
        <w:rPr>
          <w:rFonts w:ascii="Arial" w:hAnsi="Arial" w:cs="Arial"/>
          <w:bCs/>
          <w:color w:val="000000"/>
        </w:rPr>
        <w:t xml:space="preserve"> flexíveis de borracha, compatíveis com a pressão de operação, conforme ABNT NBR 13419;</w:t>
      </w:r>
    </w:p>
    <w:p w:rsidR="000A293C" w:rsidRPr="000A293C" w:rsidRDefault="00BB335E" w:rsidP="00A778BF">
      <w:pPr>
        <w:pStyle w:val="PargrafodaLista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  <w:r w:rsidRPr="000A293C">
        <w:rPr>
          <w:rFonts w:ascii="Arial" w:hAnsi="Arial" w:cs="Arial"/>
          <w:bCs/>
          <w:color w:val="000000"/>
        </w:rPr>
        <w:t>Tubos</w:t>
      </w:r>
      <w:r w:rsidR="000A293C" w:rsidRPr="000A293C">
        <w:rPr>
          <w:rFonts w:ascii="Arial" w:hAnsi="Arial" w:cs="Arial"/>
          <w:bCs/>
          <w:color w:val="000000"/>
        </w:rPr>
        <w:t xml:space="preserve"> flexíveis metálicos, conforme ABNT NBR 14177;</w:t>
      </w:r>
    </w:p>
    <w:p w:rsidR="000A293C" w:rsidRPr="000A293C" w:rsidRDefault="00BB335E" w:rsidP="00A778BF">
      <w:pPr>
        <w:pStyle w:val="PargrafodaLista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  <w:r w:rsidRPr="00BB335E">
        <w:rPr>
          <w:rFonts w:ascii="Arial" w:hAnsi="Arial" w:cs="Arial"/>
          <w:bCs/>
          <w:color w:val="000000"/>
        </w:rPr>
        <w:t>Tubos</w:t>
      </w:r>
      <w:r w:rsidR="000A293C" w:rsidRPr="000A293C">
        <w:rPr>
          <w:rFonts w:ascii="Arial" w:hAnsi="Arial" w:cs="Arial"/>
          <w:bCs/>
          <w:color w:val="000000"/>
        </w:rPr>
        <w:t xml:space="preserve"> flexíveis de borracha para uso em instalações de GLP/GN, conforme ABNT NBR 14955.</w:t>
      </w:r>
    </w:p>
    <w:p w:rsidR="000A293C" w:rsidRDefault="000A293C" w:rsidP="00BB335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7"/>
          <w:szCs w:val="27"/>
        </w:rPr>
      </w:pPr>
      <w:r w:rsidRPr="00BB335E">
        <w:rPr>
          <w:rFonts w:ascii="Arial" w:hAnsi="Arial" w:cs="Arial"/>
          <w:bCs/>
          <w:color w:val="000000"/>
        </w:rPr>
        <w:t>Devem ser verificados os limites de pressão e temperatura para esses elementos para interligação,</w:t>
      </w:r>
      <w:r w:rsidR="00BB335E" w:rsidRPr="00BB335E">
        <w:rPr>
          <w:rFonts w:ascii="Arial" w:hAnsi="Arial" w:cs="Arial"/>
          <w:bCs/>
          <w:color w:val="000000"/>
        </w:rPr>
        <w:t xml:space="preserve"> </w:t>
      </w:r>
      <w:r w:rsidRPr="00BB335E">
        <w:rPr>
          <w:rFonts w:ascii="Arial" w:hAnsi="Arial" w:cs="Arial"/>
          <w:bCs/>
          <w:color w:val="000000"/>
        </w:rPr>
        <w:t>quando de sua utilização, assim como a possibilidade de ocorrências acidentais ou incidentais como vazamento de metais líquidos, respingos de escória, contato com superfícies aquecidas e impactos mecânicos. Deve ser instalada válvula de bloqueio a montante de cada elemento de interligação</w:t>
      </w:r>
      <w:r w:rsidRPr="00BB335E">
        <w:rPr>
          <w:rFonts w:ascii="Arial" w:hAnsi="Arial" w:cs="Arial"/>
          <w:sz w:val="27"/>
          <w:szCs w:val="27"/>
        </w:rPr>
        <w:t>.</w:t>
      </w:r>
    </w:p>
    <w:p w:rsidR="00BB335E" w:rsidRPr="00BB335E" w:rsidRDefault="00BB335E" w:rsidP="00BB335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</w:p>
    <w:p w:rsidR="000A293C" w:rsidRDefault="00BB335E" w:rsidP="00A778BF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FF"/>
        </w:rPr>
      </w:pPr>
      <w:r w:rsidRPr="00BB335E">
        <w:rPr>
          <w:rFonts w:ascii="Arial" w:hAnsi="Arial" w:cs="Arial"/>
          <w:b/>
          <w:bCs/>
          <w:color w:val="0000FF"/>
        </w:rPr>
        <w:t xml:space="preserve"> VÁLVULAS DE BLOQUEIO</w:t>
      </w:r>
    </w:p>
    <w:p w:rsidR="000A293C" w:rsidRPr="000A293C" w:rsidRDefault="000A293C" w:rsidP="00BB335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color w:val="000000"/>
        </w:rPr>
      </w:pPr>
      <w:r w:rsidRPr="000A293C">
        <w:rPr>
          <w:rFonts w:ascii="Arial" w:hAnsi="Arial" w:cs="Arial"/>
          <w:bCs/>
          <w:color w:val="000000"/>
        </w:rPr>
        <w:t>As válvulas de bloqueio utilizadas na rede de distribuição interna devem ser do tipo esfera.</w:t>
      </w:r>
    </w:p>
    <w:p w:rsidR="000A293C" w:rsidRDefault="000A293C" w:rsidP="00BB335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color w:val="000000"/>
        </w:rPr>
      </w:pPr>
      <w:r w:rsidRPr="000A293C">
        <w:rPr>
          <w:rFonts w:ascii="Arial" w:hAnsi="Arial" w:cs="Arial"/>
          <w:bCs/>
          <w:color w:val="000000"/>
        </w:rPr>
        <w:t>As válvulas metálicas devem ser conforme ABNT NBR 14788.</w:t>
      </w:r>
    </w:p>
    <w:p w:rsidR="00BB335E" w:rsidRDefault="00BB335E" w:rsidP="00BB335E">
      <w:pPr>
        <w:pStyle w:val="PargrafodaLista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</w:p>
    <w:p w:rsidR="000A293C" w:rsidRDefault="00BB335E" w:rsidP="00A778BF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FF"/>
        </w:rPr>
      </w:pPr>
      <w:r w:rsidRPr="00BB335E">
        <w:rPr>
          <w:rFonts w:ascii="Arial" w:hAnsi="Arial" w:cs="Arial"/>
          <w:b/>
          <w:bCs/>
          <w:color w:val="0000FF"/>
        </w:rPr>
        <w:t>REGULADORES DE PRESSÃO</w:t>
      </w:r>
    </w:p>
    <w:p w:rsidR="000A293C" w:rsidRPr="000A293C" w:rsidRDefault="000A293C" w:rsidP="00BB335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color w:val="000000"/>
        </w:rPr>
      </w:pPr>
      <w:r w:rsidRPr="000A293C">
        <w:rPr>
          <w:rFonts w:ascii="Arial" w:hAnsi="Arial" w:cs="Arial"/>
          <w:bCs/>
          <w:color w:val="000000"/>
        </w:rPr>
        <w:t>Os reguladores de pressão devem ser selecionados de forma a atender à pressão da rede de distribuição interna onde estão instalados e à potência</w:t>
      </w:r>
      <w:r w:rsidR="00BB335E">
        <w:rPr>
          <w:rFonts w:ascii="Arial" w:hAnsi="Arial" w:cs="Arial"/>
          <w:bCs/>
          <w:color w:val="000000"/>
        </w:rPr>
        <w:t xml:space="preserve"> </w:t>
      </w:r>
      <w:r w:rsidRPr="000A293C">
        <w:rPr>
          <w:rFonts w:ascii="Arial" w:hAnsi="Arial" w:cs="Arial"/>
          <w:bCs/>
          <w:color w:val="000000"/>
        </w:rPr>
        <w:t>adotada prevista para os aparelhos a gás por eles servidos.</w:t>
      </w:r>
    </w:p>
    <w:p w:rsidR="000A293C" w:rsidRPr="000A293C" w:rsidRDefault="000A293C" w:rsidP="00BB335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color w:val="000000"/>
        </w:rPr>
      </w:pPr>
      <w:r w:rsidRPr="000A293C">
        <w:rPr>
          <w:rFonts w:ascii="Arial" w:hAnsi="Arial" w:cs="Arial"/>
          <w:bCs/>
          <w:color w:val="000000"/>
        </w:rPr>
        <w:t>Os reguladores de pressão devem ser conforme ABNT NBR 15590.</w:t>
      </w:r>
    </w:p>
    <w:p w:rsidR="000A293C" w:rsidRDefault="000A293C" w:rsidP="00BB335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color w:val="000000"/>
        </w:rPr>
      </w:pPr>
      <w:r w:rsidRPr="000A293C">
        <w:rPr>
          <w:rFonts w:ascii="Arial" w:hAnsi="Arial" w:cs="Arial"/>
          <w:bCs/>
          <w:color w:val="000000"/>
        </w:rPr>
        <w:t>Recomenda</w:t>
      </w:r>
      <w:r w:rsidR="00BB335E">
        <w:rPr>
          <w:rFonts w:ascii="Arial" w:hAnsi="Arial" w:cs="Arial"/>
          <w:bCs/>
          <w:color w:val="000000"/>
        </w:rPr>
        <w:t xml:space="preserve"> </w:t>
      </w:r>
      <w:r w:rsidRPr="000A293C">
        <w:rPr>
          <w:rFonts w:ascii="Arial" w:hAnsi="Arial" w:cs="Arial"/>
          <w:bCs/>
          <w:color w:val="000000"/>
        </w:rPr>
        <w:t>-</w:t>
      </w:r>
      <w:r w:rsidR="00BB335E">
        <w:rPr>
          <w:rFonts w:ascii="Arial" w:hAnsi="Arial" w:cs="Arial"/>
          <w:bCs/>
          <w:color w:val="000000"/>
        </w:rPr>
        <w:t xml:space="preserve"> </w:t>
      </w:r>
      <w:r w:rsidRPr="000A293C">
        <w:rPr>
          <w:rFonts w:ascii="Arial" w:hAnsi="Arial" w:cs="Arial"/>
          <w:bCs/>
          <w:color w:val="000000"/>
        </w:rPr>
        <w:t>se a instalação de filtros imediatamente a montante dos reguladores de pressão.</w:t>
      </w:r>
    </w:p>
    <w:p w:rsidR="00467131" w:rsidRDefault="00467131" w:rsidP="00BB335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color w:val="000000"/>
        </w:rPr>
      </w:pPr>
    </w:p>
    <w:p w:rsidR="00BB335E" w:rsidRDefault="00BB335E" w:rsidP="00A778BF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FF"/>
        </w:rPr>
      </w:pPr>
      <w:r w:rsidRPr="00BB335E">
        <w:rPr>
          <w:rFonts w:ascii="Arial" w:hAnsi="Arial" w:cs="Arial"/>
          <w:b/>
          <w:bCs/>
          <w:color w:val="0000FF"/>
        </w:rPr>
        <w:t>MEDIDORES</w:t>
      </w:r>
    </w:p>
    <w:p w:rsidR="000A293C" w:rsidRPr="000A293C" w:rsidRDefault="000A293C" w:rsidP="00BB335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color w:val="000000"/>
        </w:rPr>
      </w:pPr>
      <w:r w:rsidRPr="000A293C">
        <w:rPr>
          <w:rFonts w:ascii="Arial" w:hAnsi="Arial" w:cs="Arial"/>
          <w:bCs/>
          <w:color w:val="000000"/>
        </w:rPr>
        <w:t>Os medidores de vazão utilizados em aplicações industriais podem ser do tipo volumétrico e/ou mássico.</w:t>
      </w:r>
    </w:p>
    <w:p w:rsidR="000A293C" w:rsidRPr="000A293C" w:rsidRDefault="000A293C" w:rsidP="00BB335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color w:val="000000"/>
        </w:rPr>
      </w:pPr>
      <w:r w:rsidRPr="000A293C">
        <w:rPr>
          <w:rFonts w:ascii="Arial" w:hAnsi="Arial" w:cs="Arial"/>
          <w:bCs/>
          <w:color w:val="000000"/>
        </w:rPr>
        <w:t>Os medidores do tipo diafragma utilizados nas instalações internas devem ser conforme ABNT NBR 13127.</w:t>
      </w:r>
    </w:p>
    <w:p w:rsidR="000A293C" w:rsidRPr="000A293C" w:rsidRDefault="000A293C" w:rsidP="00BB335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color w:val="000000"/>
        </w:rPr>
      </w:pPr>
      <w:r w:rsidRPr="000A293C">
        <w:rPr>
          <w:rFonts w:ascii="Arial" w:hAnsi="Arial" w:cs="Arial"/>
          <w:bCs/>
          <w:color w:val="000000"/>
        </w:rPr>
        <w:lastRenderedPageBreak/>
        <w:t>Os medidores do tipo turbina utilizados nas instalações internas devem ser conforme ABNT NBR ISO 9951 e ABNT NBR 14801.</w:t>
      </w:r>
    </w:p>
    <w:p w:rsidR="000A293C" w:rsidRPr="000A293C" w:rsidRDefault="000A293C" w:rsidP="00BB335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color w:val="000000"/>
        </w:rPr>
      </w:pPr>
      <w:r w:rsidRPr="000A293C">
        <w:rPr>
          <w:rFonts w:ascii="Arial" w:hAnsi="Arial" w:cs="Arial"/>
          <w:bCs/>
          <w:color w:val="000000"/>
        </w:rPr>
        <w:t>Os medidores de gás devem ser compatíveis com a potência adotada para os aparelhos a gás por eles servidos e pressão prevista para o trecho de rede onde são instalados.</w:t>
      </w:r>
    </w:p>
    <w:p w:rsidR="000A293C" w:rsidRPr="000A293C" w:rsidRDefault="000A293C" w:rsidP="00BB335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color w:val="000000"/>
        </w:rPr>
      </w:pPr>
      <w:r w:rsidRPr="000A293C">
        <w:rPr>
          <w:rFonts w:ascii="Arial" w:hAnsi="Arial" w:cs="Arial"/>
          <w:bCs/>
          <w:color w:val="000000"/>
        </w:rPr>
        <w:t>Recomenda</w:t>
      </w:r>
      <w:r w:rsidR="00BB335E" w:rsidRPr="00BB335E">
        <w:rPr>
          <w:rFonts w:ascii="Arial" w:hAnsi="Arial" w:cs="Arial"/>
          <w:bCs/>
          <w:color w:val="000000"/>
        </w:rPr>
        <w:t xml:space="preserve"> </w:t>
      </w:r>
      <w:r w:rsidRPr="000A293C">
        <w:rPr>
          <w:rFonts w:ascii="Arial" w:hAnsi="Arial" w:cs="Arial"/>
          <w:bCs/>
          <w:color w:val="000000"/>
        </w:rPr>
        <w:t>-</w:t>
      </w:r>
      <w:r w:rsidR="00BB335E" w:rsidRPr="00BB335E">
        <w:rPr>
          <w:rFonts w:ascii="Arial" w:hAnsi="Arial" w:cs="Arial"/>
          <w:bCs/>
          <w:color w:val="000000"/>
        </w:rPr>
        <w:t xml:space="preserve"> </w:t>
      </w:r>
      <w:r w:rsidRPr="000A293C">
        <w:rPr>
          <w:rFonts w:ascii="Arial" w:hAnsi="Arial" w:cs="Arial"/>
          <w:bCs/>
          <w:color w:val="000000"/>
        </w:rPr>
        <w:t>se a instalação de filtro a montante dos medidores.</w:t>
      </w:r>
    </w:p>
    <w:p w:rsidR="00BB335E" w:rsidRDefault="00BB335E" w:rsidP="000A293C">
      <w:pPr>
        <w:rPr>
          <w:rFonts w:ascii="Arial" w:hAnsi="Arial" w:cs="Arial"/>
          <w:sz w:val="30"/>
          <w:szCs w:val="30"/>
        </w:rPr>
      </w:pPr>
    </w:p>
    <w:p w:rsidR="000A293C" w:rsidRDefault="00BB335E" w:rsidP="00A778BF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FF"/>
        </w:rPr>
      </w:pPr>
      <w:r w:rsidRPr="00BB335E">
        <w:rPr>
          <w:rFonts w:ascii="Arial" w:hAnsi="Arial" w:cs="Arial"/>
          <w:b/>
          <w:bCs/>
          <w:color w:val="0000FF"/>
        </w:rPr>
        <w:t>MANÔMETROS</w:t>
      </w:r>
    </w:p>
    <w:p w:rsidR="000A293C" w:rsidRDefault="000A293C" w:rsidP="00BB335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color w:val="000000"/>
        </w:rPr>
      </w:pPr>
      <w:r w:rsidRPr="000A293C">
        <w:rPr>
          <w:rFonts w:ascii="Arial" w:hAnsi="Arial" w:cs="Arial"/>
          <w:bCs/>
          <w:color w:val="000000"/>
        </w:rPr>
        <w:t>Os manômetros devem ser dimensionados para atuar preferencialmente entre 25% e</w:t>
      </w:r>
      <w:r w:rsidR="00BB335E" w:rsidRPr="00BB335E">
        <w:rPr>
          <w:rFonts w:ascii="Arial" w:hAnsi="Arial" w:cs="Arial"/>
          <w:bCs/>
          <w:color w:val="000000"/>
        </w:rPr>
        <w:t xml:space="preserve"> </w:t>
      </w:r>
      <w:r w:rsidRPr="000A293C">
        <w:rPr>
          <w:rFonts w:ascii="Arial" w:hAnsi="Arial" w:cs="Arial"/>
          <w:bCs/>
          <w:color w:val="000000"/>
        </w:rPr>
        <w:t>75% de seu final de escala, e ser conforme ABNT NBR 8189 e ABNT NBR 14105.</w:t>
      </w:r>
    </w:p>
    <w:p w:rsidR="00467131" w:rsidRDefault="00467131" w:rsidP="00BB335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color w:val="000000"/>
        </w:rPr>
      </w:pPr>
    </w:p>
    <w:p w:rsidR="00467131" w:rsidRDefault="00EC263B" w:rsidP="00467131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FF"/>
        </w:rPr>
      </w:pPr>
      <w:r w:rsidRPr="00467131">
        <w:rPr>
          <w:rFonts w:ascii="Arial" w:hAnsi="Arial" w:cs="Arial"/>
          <w:b/>
          <w:bCs/>
          <w:color w:val="0000FF"/>
        </w:rPr>
        <w:t>FILTROS</w:t>
      </w:r>
    </w:p>
    <w:p w:rsidR="00467131" w:rsidRDefault="00467131" w:rsidP="00AC4ED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color w:val="000000"/>
        </w:rPr>
      </w:pPr>
      <w:r w:rsidRPr="00467131">
        <w:rPr>
          <w:rFonts w:ascii="Arial" w:hAnsi="Arial" w:cs="Arial"/>
          <w:bCs/>
          <w:color w:val="000000"/>
        </w:rPr>
        <w:t>Os filtros devem possuir elementos filtrantes substituíveis ou permitir limpeza periódica.</w:t>
      </w:r>
    </w:p>
    <w:p w:rsidR="00AA4419" w:rsidRDefault="00AA4419" w:rsidP="00AA441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Cs/>
          <w:color w:val="000000"/>
        </w:rPr>
      </w:pPr>
    </w:p>
    <w:p w:rsidR="00AA4419" w:rsidRDefault="00AA4419" w:rsidP="00AA4419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>ABRIGO DE BOTIJÕES</w:t>
      </w:r>
    </w:p>
    <w:p w:rsidR="00AA4419" w:rsidRPr="00E7561E" w:rsidRDefault="00AA4419" w:rsidP="00AA441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color w:val="000000"/>
        </w:rPr>
        <w:t xml:space="preserve">É construído em alvenaria, com cobertura em laje, fechado na frente com um portão em tela. </w:t>
      </w:r>
      <w:r w:rsidR="00E7561E" w:rsidRPr="00E7561E">
        <w:rPr>
          <w:rFonts w:ascii="Arial" w:hAnsi="Arial" w:cs="Arial"/>
          <w:b/>
          <w:bCs/>
          <w:color w:val="000000"/>
        </w:rPr>
        <w:t>O detalhamento</w:t>
      </w:r>
      <w:r w:rsidRPr="00E7561E">
        <w:rPr>
          <w:rFonts w:ascii="Arial" w:hAnsi="Arial" w:cs="Arial"/>
          <w:b/>
          <w:bCs/>
          <w:color w:val="000000"/>
        </w:rPr>
        <w:t xml:space="preserve"> </w:t>
      </w:r>
      <w:r w:rsidR="00E7561E" w:rsidRPr="00E7561E">
        <w:rPr>
          <w:rFonts w:ascii="Arial" w:hAnsi="Arial" w:cs="Arial"/>
          <w:b/>
          <w:bCs/>
          <w:color w:val="000000"/>
        </w:rPr>
        <w:t xml:space="preserve">do abrigo de Gás </w:t>
      </w:r>
      <w:r w:rsidRPr="00E7561E">
        <w:rPr>
          <w:rFonts w:ascii="Arial" w:hAnsi="Arial" w:cs="Arial"/>
          <w:b/>
          <w:bCs/>
          <w:color w:val="000000"/>
        </w:rPr>
        <w:t>para execução</w:t>
      </w:r>
      <w:r w:rsidR="00E7561E" w:rsidRPr="00E7561E">
        <w:rPr>
          <w:rFonts w:ascii="Arial" w:hAnsi="Arial" w:cs="Arial"/>
          <w:b/>
          <w:bCs/>
          <w:color w:val="000000"/>
        </w:rPr>
        <w:t xml:space="preserve"> se encontra em projeto de GLP, prancha 01/01.</w:t>
      </w:r>
    </w:p>
    <w:p w:rsidR="00AA4419" w:rsidRDefault="00E7561E" w:rsidP="00AA441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O abrigo deve ser localizado no exterior da edificação, em local ventilado, próximo de um acesso, preferencialmente onde não haja transito de alunos. O abrigo também não deve estar perto de locais onde existem fontes de calor.</w:t>
      </w:r>
      <w:r w:rsidRPr="00E7561E">
        <w:rPr>
          <w:rFonts w:ascii="Arial" w:hAnsi="Arial" w:cs="Arial"/>
          <w:b/>
          <w:bCs/>
          <w:color w:val="000000"/>
        </w:rPr>
        <w:t xml:space="preserve"> Os abrigos de gás estão locados de acordo com o projeto de execução de GLP, prancha 01/01.</w:t>
      </w:r>
    </w:p>
    <w:p w:rsidR="00E7561E" w:rsidRDefault="00E7561E" w:rsidP="00AA441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Os acessos ao abrigo devem estar sempre desimpedidos, com os equipamentos contra incêndio (hidrantes/extintores) em </w:t>
      </w:r>
      <w:r w:rsidRPr="00E61887">
        <w:rPr>
          <w:rFonts w:ascii="Arial" w:hAnsi="Arial" w:cs="Arial"/>
          <w:bCs/>
        </w:rPr>
        <w:t xml:space="preserve">funcionamento e com facilidade de acesso e operação. Caso a escola não tenha rede de hidrantes, </w:t>
      </w:r>
      <w:r>
        <w:rPr>
          <w:rFonts w:ascii="Arial" w:hAnsi="Arial" w:cs="Arial"/>
          <w:bCs/>
          <w:color w:val="000000"/>
        </w:rPr>
        <w:t xml:space="preserve">o abrigo deve possuir, em suas proximidades, dois extintores de pó químico </w:t>
      </w:r>
      <w:r w:rsidR="0005703C">
        <w:rPr>
          <w:rFonts w:ascii="Arial" w:hAnsi="Arial" w:cs="Arial"/>
          <w:bCs/>
          <w:color w:val="000000"/>
        </w:rPr>
        <w:t>de 06</w:t>
      </w:r>
      <w:r>
        <w:rPr>
          <w:rFonts w:ascii="Arial" w:hAnsi="Arial" w:cs="Arial"/>
          <w:bCs/>
          <w:color w:val="000000"/>
        </w:rPr>
        <w:t>kg cada um</w:t>
      </w:r>
      <w:r w:rsidR="00E61887">
        <w:rPr>
          <w:rFonts w:ascii="Arial" w:hAnsi="Arial" w:cs="Arial"/>
          <w:bCs/>
          <w:color w:val="000000"/>
        </w:rPr>
        <w:t xml:space="preserve"> conforme a </w:t>
      </w:r>
      <w:r w:rsidR="00B52CA1">
        <w:rPr>
          <w:rFonts w:ascii="Arial" w:hAnsi="Arial" w:cs="Arial"/>
          <w:bCs/>
          <w:color w:val="000000"/>
        </w:rPr>
        <w:t>tabela abaixo</w:t>
      </w:r>
      <w:r>
        <w:rPr>
          <w:rFonts w:ascii="Arial" w:hAnsi="Arial" w:cs="Arial"/>
          <w:bCs/>
          <w:color w:val="000000"/>
        </w:rPr>
        <w:t xml:space="preserve">. </w:t>
      </w:r>
      <w:r w:rsidRPr="00E7561E">
        <w:rPr>
          <w:rFonts w:ascii="Arial" w:hAnsi="Arial" w:cs="Arial"/>
          <w:b/>
          <w:bCs/>
          <w:color w:val="000000"/>
        </w:rPr>
        <w:t>Ver detalhe em projeto.</w:t>
      </w:r>
    </w:p>
    <w:p w:rsidR="00783BE9" w:rsidRDefault="00783BE9" w:rsidP="00AA441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Cs/>
          <w:color w:val="000000"/>
        </w:rPr>
      </w:pPr>
    </w:p>
    <w:p w:rsidR="00B52CA1" w:rsidRPr="00E61887" w:rsidRDefault="00783BE9" w:rsidP="00783BE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highlight w:val="yellow"/>
        </w:rPr>
        <w:drawing>
          <wp:inline distT="0" distB="0" distL="0" distR="0" wp14:anchorId="1A9107FB" wp14:editId="48EBD870">
            <wp:extent cx="2555515" cy="1163292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368" cy="1213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BE9" w:rsidRDefault="00783BE9" w:rsidP="00E7561E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697B53">
        <w:rPr>
          <w:rFonts w:ascii="Arial" w:hAnsi="Arial" w:cs="Arial"/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E22BDC7" wp14:editId="45D76F6F">
                <wp:simplePos x="0" y="0"/>
                <wp:positionH relativeFrom="margin">
                  <wp:posOffset>1171096</wp:posOffset>
                </wp:positionH>
                <wp:positionV relativeFrom="paragraph">
                  <wp:posOffset>7129</wp:posOffset>
                </wp:positionV>
                <wp:extent cx="3553460" cy="1404620"/>
                <wp:effectExtent l="0" t="0" r="8890" b="1270"/>
                <wp:wrapSquare wrapText="bothSides"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3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3BE9" w:rsidRDefault="00783BE9" w:rsidP="00783BE9">
                            <w:pPr>
                              <w:jc w:val="center"/>
                            </w:pPr>
                            <w:r>
                              <w:t>Tabela01. Classificação dos Extintores conforme NBR 10 721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22BDC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92.2pt;margin-top:.55pt;width:279.8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" stroked="f">
                <v:textbox style="mso-fit-shape-to-text:t">
                  <w:txbxContent>
                    <w:p w:rsidR="00783BE9" w:rsidRDefault="00783BE9" w:rsidP="00783BE9">
                      <w:pPr>
                        <w:jc w:val="center"/>
                      </w:pPr>
                      <w:r>
                        <w:t>Tabela01. Classificação dos Extintores conforme NBR 10 721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83BE9" w:rsidRDefault="00783BE9" w:rsidP="00E7561E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783BE9" w:rsidRDefault="00783BE9" w:rsidP="00E7561E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783BE9" w:rsidRDefault="00783BE9" w:rsidP="00E7561E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E7561E" w:rsidRPr="00E61887" w:rsidRDefault="00E7561E" w:rsidP="00E7561E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E61887">
        <w:rPr>
          <w:rFonts w:ascii="Arial" w:hAnsi="Arial" w:cs="Arial"/>
          <w:bCs/>
        </w:rPr>
        <w:t>EXTINTORES PORTÁTEIS (ABNT NBR 10721 NBR 13523:2008)</w:t>
      </w:r>
    </w:p>
    <w:p w:rsidR="00E7561E" w:rsidRPr="00E61887" w:rsidRDefault="00E7561E" w:rsidP="00E7561E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E7561E" w:rsidRPr="00E61887" w:rsidRDefault="00E7561E" w:rsidP="00E756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E61887">
        <w:rPr>
          <w:rFonts w:ascii="Arial" w:hAnsi="Arial" w:cs="Arial"/>
          <w:bCs/>
        </w:rPr>
        <w:t>Tipo:   P.Q.S. (Pó químico seco) 12 KG;</w:t>
      </w:r>
    </w:p>
    <w:p w:rsidR="00E7561E" w:rsidRPr="00E61887" w:rsidRDefault="00E7561E" w:rsidP="00E756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proofErr w:type="spellStart"/>
      <w:r w:rsidRPr="00E61887">
        <w:rPr>
          <w:rFonts w:ascii="Arial" w:hAnsi="Arial" w:cs="Arial"/>
          <w:bCs/>
        </w:rPr>
        <w:t>Qtde</w:t>
      </w:r>
      <w:proofErr w:type="spellEnd"/>
      <w:r w:rsidRPr="00E61887">
        <w:rPr>
          <w:rFonts w:ascii="Arial" w:hAnsi="Arial" w:cs="Arial"/>
          <w:bCs/>
        </w:rPr>
        <w:t>/cap. extintora: 1/20B;</w:t>
      </w:r>
    </w:p>
    <w:p w:rsidR="00E7561E" w:rsidRPr="00E61887" w:rsidRDefault="00E7561E" w:rsidP="00E756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E61887">
        <w:rPr>
          <w:rFonts w:ascii="Arial" w:hAnsi="Arial" w:cs="Arial"/>
          <w:bCs/>
        </w:rPr>
        <w:t>Capacidade da central:    Até 270 Kg de GÀS LP;</w:t>
      </w:r>
    </w:p>
    <w:p w:rsidR="00E7561E" w:rsidRPr="00E61887" w:rsidRDefault="00E7561E" w:rsidP="00E756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E61887">
        <w:rPr>
          <w:rFonts w:ascii="Arial" w:hAnsi="Arial" w:cs="Arial"/>
          <w:bCs/>
        </w:rPr>
        <w:t>Observações: Posicionando próximo a cada central de GÁS LP</w:t>
      </w:r>
    </w:p>
    <w:p w:rsidR="00E7561E" w:rsidRDefault="00E7561E" w:rsidP="00E7561E"/>
    <w:p w:rsidR="00E7561E" w:rsidRPr="00E7561E" w:rsidRDefault="00E7561E" w:rsidP="00E7561E">
      <w:pPr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  <w:r w:rsidRPr="00E7561E">
        <w:rPr>
          <w:rFonts w:ascii="Arial" w:hAnsi="Arial" w:cs="Arial"/>
          <w:bCs/>
          <w:color w:val="000000"/>
        </w:rPr>
        <w:lastRenderedPageBreak/>
        <w:t xml:space="preserve">Os botijões e os dispositivos internos do abrigo não devem ficar em contato com </w:t>
      </w:r>
      <w:r>
        <w:rPr>
          <w:rFonts w:ascii="Arial" w:hAnsi="Arial" w:cs="Arial"/>
          <w:bCs/>
          <w:color w:val="000000"/>
        </w:rPr>
        <w:t>a terra em</w:t>
      </w:r>
      <w:r w:rsidRPr="00E7561E">
        <w:rPr>
          <w:rFonts w:ascii="Arial" w:hAnsi="Arial" w:cs="Arial"/>
          <w:bCs/>
          <w:color w:val="000000"/>
        </w:rPr>
        <w:t xml:space="preserve"> loca</w:t>
      </w:r>
      <w:r>
        <w:rPr>
          <w:rFonts w:ascii="Arial" w:hAnsi="Arial" w:cs="Arial"/>
          <w:bCs/>
          <w:color w:val="000000"/>
        </w:rPr>
        <w:t>l</w:t>
      </w:r>
      <w:r w:rsidRPr="00E7561E">
        <w:rPr>
          <w:rFonts w:ascii="Arial" w:hAnsi="Arial" w:cs="Arial"/>
          <w:bCs/>
          <w:color w:val="000000"/>
        </w:rPr>
        <w:t xml:space="preserve"> onde haja acúmulo de água de qualquer origem.</w:t>
      </w:r>
    </w:p>
    <w:p w:rsidR="00680DD4" w:rsidRDefault="00680DD4" w:rsidP="00680DD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color w:val="000000"/>
        </w:rPr>
      </w:pPr>
    </w:p>
    <w:p w:rsidR="00680DD4" w:rsidRDefault="00680DD4" w:rsidP="00680DD4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FF"/>
        </w:rPr>
      </w:pPr>
      <w:r w:rsidRPr="00AA4419">
        <w:rPr>
          <w:rFonts w:ascii="Arial" w:hAnsi="Arial" w:cs="Arial"/>
          <w:b/>
          <w:bCs/>
          <w:color w:val="0000FF"/>
        </w:rPr>
        <w:t>BOTIJÕES P45</w:t>
      </w:r>
    </w:p>
    <w:p w:rsidR="00AC481D" w:rsidRPr="00AA4419" w:rsidRDefault="00AC481D" w:rsidP="00AC481D">
      <w:pPr>
        <w:pStyle w:val="PargrafodaLista"/>
        <w:autoSpaceDE w:val="0"/>
        <w:autoSpaceDN w:val="0"/>
        <w:adjustRightInd w:val="0"/>
        <w:spacing w:line="360" w:lineRule="auto"/>
        <w:ind w:left="1429"/>
        <w:jc w:val="both"/>
        <w:rPr>
          <w:rFonts w:ascii="Arial" w:hAnsi="Arial" w:cs="Arial"/>
          <w:b/>
          <w:bCs/>
          <w:color w:val="0000FF"/>
        </w:rPr>
      </w:pPr>
    </w:p>
    <w:p w:rsidR="00680DD4" w:rsidRDefault="00B52CA1" w:rsidP="00680DD4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Cs/>
          <w:color w:val="000000"/>
        </w:rPr>
      </w:pPr>
      <w:r w:rsidRPr="00D449A5">
        <w:rPr>
          <w:rFonts w:ascii="Arial" w:hAnsi="Arial" w:cs="Arial"/>
          <w:bCs/>
          <w:noProof/>
          <w:color w:val="000000"/>
        </w:rPr>
        <w:drawing>
          <wp:anchor distT="0" distB="0" distL="114300" distR="114300" simplePos="0" relativeHeight="251664384" behindDoc="0" locked="0" layoutInCell="1" allowOverlap="1" wp14:anchorId="572A1F9A" wp14:editId="060B4937">
            <wp:simplePos x="0" y="0"/>
            <wp:positionH relativeFrom="column">
              <wp:posOffset>2093990</wp:posOffset>
            </wp:positionH>
            <wp:positionV relativeFrom="paragraph">
              <wp:posOffset>651354</wp:posOffset>
            </wp:positionV>
            <wp:extent cx="1035050" cy="1456690"/>
            <wp:effectExtent l="0" t="0" r="0" b="0"/>
            <wp:wrapSquare wrapText="bothSides"/>
            <wp:docPr id="4" name="Imagem 4" descr="C:\Users\arotta\Desktop\ght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otta\Desktop\ghth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DD4" w:rsidRPr="00697B53">
        <w:rPr>
          <w:rFonts w:ascii="Arial" w:hAnsi="Arial" w:cs="Arial"/>
          <w:bCs/>
          <w:color w:val="000000"/>
        </w:rPr>
        <w:t>Os botijões são responsáveis pelo armazenamento e fornecimento de GLP para consumo. Eles são confeccionados em aço e armazenam GLP em alta pressão. Na fase liquida a pressão interna é de 7 Kg/cm².</w:t>
      </w:r>
    </w:p>
    <w:p w:rsidR="00680DD4" w:rsidRDefault="00680DD4" w:rsidP="00680DD4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Cs/>
          <w:color w:val="000000"/>
        </w:rPr>
      </w:pPr>
    </w:p>
    <w:p w:rsidR="00680DD4" w:rsidRDefault="00680DD4" w:rsidP="00680DD4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Cs/>
          <w:color w:val="000000"/>
        </w:rPr>
      </w:pPr>
    </w:p>
    <w:p w:rsidR="00D449A5" w:rsidRDefault="00D449A5" w:rsidP="00680DD4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Cs/>
          <w:color w:val="000000"/>
        </w:rPr>
      </w:pPr>
    </w:p>
    <w:p w:rsidR="00D449A5" w:rsidRDefault="00D449A5" w:rsidP="00680DD4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Cs/>
          <w:color w:val="000000"/>
        </w:rPr>
      </w:pPr>
    </w:p>
    <w:p w:rsidR="00D449A5" w:rsidRDefault="00D449A5" w:rsidP="00680DD4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Cs/>
          <w:color w:val="000000"/>
        </w:rPr>
      </w:pPr>
    </w:p>
    <w:p w:rsidR="00D449A5" w:rsidRDefault="00D449A5" w:rsidP="00680DD4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Cs/>
          <w:color w:val="000000"/>
        </w:rPr>
      </w:pPr>
    </w:p>
    <w:p w:rsidR="00680DD4" w:rsidRDefault="007D2471" w:rsidP="00680DD4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Cs/>
          <w:color w:val="000000"/>
        </w:rPr>
      </w:pPr>
      <w:r w:rsidRPr="00697B53">
        <w:rPr>
          <w:rFonts w:ascii="Arial" w:hAnsi="Arial" w:cs="Arial"/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83D7B4" wp14:editId="37F6E59D">
                <wp:simplePos x="0" y="0"/>
                <wp:positionH relativeFrom="margin">
                  <wp:posOffset>2014220</wp:posOffset>
                </wp:positionH>
                <wp:positionV relativeFrom="paragraph">
                  <wp:posOffset>219710</wp:posOffset>
                </wp:positionV>
                <wp:extent cx="1362710" cy="1404620"/>
                <wp:effectExtent l="0" t="0" r="8890" b="127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DD4" w:rsidRDefault="00680DD4" w:rsidP="00D449A5">
                            <w:pPr>
                              <w:jc w:val="center"/>
                            </w:pPr>
                            <w:r>
                              <w:t>Figura0</w:t>
                            </w:r>
                            <w:r w:rsidR="001C0CFB">
                              <w:t>1</w:t>
                            </w:r>
                            <w:r>
                              <w:t>. Botijão P45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83D7B4" id="_x0000_s1027" type="#_x0000_t202" style="position:absolute;left:0;text-align:left;margin-left:158.6pt;margin-top:17.3pt;width:107.3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" stroked="f">
                <v:textbox style="mso-fit-shape-to-text:t">
                  <w:txbxContent>
                    <w:p w:rsidR="00680DD4" w:rsidRDefault="00680DD4" w:rsidP="00D449A5">
                      <w:pPr>
                        <w:jc w:val="center"/>
                      </w:pPr>
                      <w:r>
                        <w:t>Figura0</w:t>
                      </w:r>
                      <w:r w:rsidR="001C0CFB">
                        <w:t>1</w:t>
                      </w:r>
                      <w:r>
                        <w:t>. Botijão P45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80DD4" w:rsidRDefault="00680DD4" w:rsidP="00680DD4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Cs/>
          <w:color w:val="000000"/>
        </w:rPr>
      </w:pPr>
    </w:p>
    <w:p w:rsidR="00AC481D" w:rsidRDefault="00AC481D" w:rsidP="00BB335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bCs/>
          <w:i/>
          <w:color w:val="0000FF"/>
          <w:u w:val="single"/>
        </w:rPr>
      </w:pPr>
    </w:p>
    <w:p w:rsidR="00BB335E" w:rsidRDefault="00125BA5" w:rsidP="00BB335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bCs/>
          <w:i/>
          <w:color w:val="0000FF"/>
          <w:u w:val="single"/>
        </w:rPr>
      </w:pPr>
      <w:r w:rsidRPr="00125BA5">
        <w:rPr>
          <w:rFonts w:ascii="Arial" w:hAnsi="Arial" w:cs="Arial"/>
          <w:b/>
          <w:bCs/>
          <w:i/>
          <w:color w:val="0000FF"/>
          <w:u w:val="single"/>
        </w:rPr>
        <w:t>QUANTO A EXECUÇÃO:</w:t>
      </w:r>
    </w:p>
    <w:p w:rsidR="00125BA5" w:rsidRPr="00D924C5" w:rsidRDefault="00125BA5" w:rsidP="00BB335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color w:val="000000"/>
        </w:rPr>
      </w:pPr>
    </w:p>
    <w:p w:rsidR="00D924C5" w:rsidRPr="00AC4ED4" w:rsidRDefault="00D924C5" w:rsidP="00AC4ED4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AC4ED4">
        <w:rPr>
          <w:rFonts w:ascii="Arial" w:hAnsi="Arial" w:cs="Arial"/>
          <w:b/>
          <w:bCs/>
          <w:color w:val="000000"/>
        </w:rPr>
        <w:t>Tubulações enterradas (externas a projeção horizontal da edificação)</w:t>
      </w:r>
    </w:p>
    <w:p w:rsidR="00D924C5" w:rsidRPr="00D924C5" w:rsidRDefault="00D924C5" w:rsidP="00D924C5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color w:val="000000"/>
        </w:rPr>
      </w:pPr>
      <w:r w:rsidRPr="00D924C5">
        <w:rPr>
          <w:rFonts w:ascii="Arial" w:hAnsi="Arial" w:cs="Arial"/>
          <w:bCs/>
          <w:color w:val="000000"/>
        </w:rPr>
        <w:t xml:space="preserve">A tubulação enterrada deve manter um afastamento de outras utilidades, tubulações e estruturas de no mínimo 0,30 m, medidos a partir da sua face. </w:t>
      </w:r>
    </w:p>
    <w:p w:rsidR="00D924C5" w:rsidRPr="00D924C5" w:rsidRDefault="00D924C5" w:rsidP="00D924C5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color w:val="000000"/>
        </w:rPr>
      </w:pPr>
      <w:r w:rsidRPr="00D924C5">
        <w:rPr>
          <w:rFonts w:ascii="Arial" w:hAnsi="Arial" w:cs="Arial"/>
          <w:bCs/>
          <w:color w:val="000000"/>
        </w:rPr>
        <w:t xml:space="preserve">A tubulação enterrada, quando metálica, deve obedecer ao afastamento mínimo de 5 m de entrada de energia elétrica (12 000 V ou superior) e seus elementos (malhas de terra de para-raios, subestações, postes, estruturas etc.). Na impossibilidade de se atender ao afastamento recomendado, medidas mitigatórias devem ser implantadas para garantir a atenuação da interferência eletromagnética geradas por estas malhas sobre a tubulação de gás. </w:t>
      </w:r>
    </w:p>
    <w:p w:rsidR="00D924C5" w:rsidRPr="00D924C5" w:rsidRDefault="00D924C5" w:rsidP="00D924C5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color w:val="000000"/>
        </w:rPr>
      </w:pPr>
      <w:r w:rsidRPr="00D924C5">
        <w:rPr>
          <w:rFonts w:ascii="Arial" w:hAnsi="Arial" w:cs="Arial"/>
          <w:bCs/>
          <w:color w:val="000000"/>
        </w:rPr>
        <w:t>A tubulação deve ser assentada fora da projeção das edificações, ou seja, nas suas áreas externas, e não podem passar por elementos estruturais.</w:t>
      </w:r>
    </w:p>
    <w:p w:rsidR="00D924C5" w:rsidRPr="00D924C5" w:rsidRDefault="00D924C5" w:rsidP="00D924C5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color w:val="000000"/>
        </w:rPr>
      </w:pPr>
      <w:r w:rsidRPr="00D924C5">
        <w:rPr>
          <w:rFonts w:ascii="Arial" w:hAnsi="Arial" w:cs="Arial"/>
          <w:bCs/>
          <w:color w:val="000000"/>
        </w:rPr>
        <w:t xml:space="preserve">A tubulação não pode utilizar a mesma vala de redes elétricas e/ou telefones. </w:t>
      </w:r>
    </w:p>
    <w:p w:rsidR="00D924C5" w:rsidRPr="00D924C5" w:rsidRDefault="00D924C5" w:rsidP="00D924C5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color w:val="000000"/>
        </w:rPr>
      </w:pPr>
      <w:r w:rsidRPr="00D924C5">
        <w:rPr>
          <w:rFonts w:ascii="Arial" w:hAnsi="Arial" w:cs="Arial"/>
          <w:bCs/>
          <w:color w:val="000000"/>
        </w:rPr>
        <w:t xml:space="preserve">A profundidade da tubulação deve ser de no mínimo 0,60 m a partir da geratriz superior do tubo, em locais sujeitos a tráfego de veículos. </w:t>
      </w:r>
    </w:p>
    <w:p w:rsidR="00D924C5" w:rsidRPr="00D924C5" w:rsidRDefault="00D924C5" w:rsidP="00D924C5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color w:val="000000"/>
        </w:rPr>
      </w:pPr>
      <w:r w:rsidRPr="00D924C5">
        <w:rPr>
          <w:rFonts w:ascii="Arial" w:hAnsi="Arial" w:cs="Arial"/>
          <w:bCs/>
          <w:color w:val="000000"/>
        </w:rPr>
        <w:t>A profundidade da tubulação em zonas ajardinadas ou sujeitas a escavações deve ser de no mínimo 0,80 m a partir da geratriz superior do tubo.</w:t>
      </w:r>
    </w:p>
    <w:p w:rsidR="00D924C5" w:rsidRPr="00D924C5" w:rsidRDefault="00D924C5" w:rsidP="00D924C5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color w:val="000000"/>
        </w:rPr>
      </w:pPr>
      <w:r w:rsidRPr="00D924C5">
        <w:rPr>
          <w:rFonts w:ascii="Arial" w:hAnsi="Arial" w:cs="Arial"/>
          <w:bCs/>
          <w:color w:val="000000"/>
        </w:rPr>
        <w:t xml:space="preserve">A profundidade da tubulação deve ser de no mínimo 0,30 m a partir da geratriz superior do tubo, em locais sem tráfego ou sujeitos a tráfego de pessoas. Caso não seja possível atender às profundidades determinadas, deve - se estabelecer um mecanismo de proteção adequado, como: laje ou envelopamento de concreto ao longo do trecho. É recomendável a análise das situações reais da </w:t>
      </w:r>
      <w:r w:rsidRPr="00D924C5">
        <w:rPr>
          <w:rFonts w:ascii="Arial" w:hAnsi="Arial" w:cs="Arial"/>
          <w:bCs/>
          <w:color w:val="000000"/>
        </w:rPr>
        <w:lastRenderedPageBreak/>
        <w:t>rede de distribuição interna enterrada, de forma a estabelecer proteções adequadas, calculadas de acordo com os esforços solicitados em cada caso específico. Sempre que possível, devem ser evitadas profundidades superiores a 1,5 m, nos casos de tubos de polietileno.</w:t>
      </w:r>
    </w:p>
    <w:p w:rsidR="00D924C5" w:rsidRPr="00D924C5" w:rsidRDefault="00D924C5" w:rsidP="00D924C5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color w:val="000000"/>
        </w:rPr>
      </w:pPr>
      <w:r w:rsidRPr="00D924C5">
        <w:rPr>
          <w:rFonts w:ascii="Arial" w:hAnsi="Arial" w:cs="Arial"/>
          <w:bCs/>
          <w:color w:val="000000"/>
        </w:rPr>
        <w:t xml:space="preserve">Os tubos de polietileno somente devem ser utilizados em trechos enterrados e externos à projeção horizontal da edificação. As conexões para tubulações enterradas devem ser soldadas, não sendo permitidas uniões </w:t>
      </w:r>
      <w:proofErr w:type="spellStart"/>
      <w:r w:rsidRPr="00D924C5">
        <w:rPr>
          <w:rFonts w:ascii="Arial" w:hAnsi="Arial" w:cs="Arial"/>
          <w:bCs/>
          <w:color w:val="000000"/>
        </w:rPr>
        <w:t>flangeadas</w:t>
      </w:r>
      <w:proofErr w:type="spellEnd"/>
      <w:r w:rsidRPr="00D924C5">
        <w:rPr>
          <w:rFonts w:ascii="Arial" w:hAnsi="Arial" w:cs="Arial"/>
          <w:bCs/>
          <w:color w:val="000000"/>
        </w:rPr>
        <w:t xml:space="preserve"> ou conexões roscadas. </w:t>
      </w:r>
    </w:p>
    <w:p w:rsidR="00D924C5" w:rsidRDefault="00D924C5" w:rsidP="00D924C5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Cs/>
          <w:color w:val="000000"/>
        </w:rPr>
      </w:pPr>
      <w:r w:rsidRPr="00D924C5">
        <w:rPr>
          <w:rFonts w:ascii="Arial" w:hAnsi="Arial" w:cs="Arial"/>
          <w:bCs/>
          <w:color w:val="000000"/>
        </w:rPr>
        <w:t>Para os trechos de tubulação enterrada deve - se realizar um ensaio de estanqueidade prévio ao preenchimento da vala. As valas para colocação de tubos devem ter seção retangular, a menos que a consistência do terreno não a permita. A largura da vala deve ser a menor possível, bastando acrescentar 30 cm ao diâmetro externo dos tubos</w:t>
      </w:r>
    </w:p>
    <w:p w:rsidR="00AC4ED4" w:rsidRDefault="00AC4ED4" w:rsidP="00AC4ED4">
      <w:pPr>
        <w:spacing w:line="360" w:lineRule="auto"/>
        <w:jc w:val="both"/>
        <w:rPr>
          <w:rFonts w:ascii="Arial" w:hAnsi="Arial" w:cs="Arial"/>
          <w:bCs/>
          <w:color w:val="000000"/>
        </w:rPr>
      </w:pPr>
    </w:p>
    <w:p w:rsidR="00AC4ED4" w:rsidRPr="00AC4ED4" w:rsidRDefault="00AC4ED4" w:rsidP="00AC4ED4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AC4ED4">
        <w:rPr>
          <w:rFonts w:ascii="Arial" w:hAnsi="Arial" w:cs="Arial"/>
          <w:b/>
          <w:bCs/>
          <w:color w:val="000000"/>
        </w:rPr>
        <w:t>Válvulas de bloqueio manual</w:t>
      </w:r>
    </w:p>
    <w:p w:rsidR="00AC4ED4" w:rsidRDefault="00AC4ED4" w:rsidP="00AC4E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  <w:r w:rsidRPr="00AC4ED4">
        <w:rPr>
          <w:rFonts w:ascii="Arial" w:hAnsi="Arial" w:cs="Arial"/>
          <w:bCs/>
          <w:color w:val="000000"/>
        </w:rPr>
        <w:t>A rede de distribuição interna deve possuir válvulas de bloqueio manual que permitam a interrupção do suprimento do gás combustível:</w:t>
      </w:r>
    </w:p>
    <w:p w:rsidR="00AC4ED4" w:rsidRPr="00AC4ED4" w:rsidRDefault="00AC4ED4" w:rsidP="00AC4ED4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  <w:r w:rsidRPr="00AC4ED4">
        <w:rPr>
          <w:rFonts w:ascii="Arial" w:hAnsi="Arial" w:cs="Arial"/>
          <w:bCs/>
          <w:color w:val="000000"/>
        </w:rPr>
        <w:t>Na entrada da rede de distribuição (imediatamente a jusante da central de GLP ou CRM);</w:t>
      </w:r>
    </w:p>
    <w:p w:rsidR="00AC4ED4" w:rsidRPr="00AC4ED4" w:rsidRDefault="00AC4ED4" w:rsidP="00AC4ED4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  <w:r w:rsidRPr="00AC4ED4">
        <w:rPr>
          <w:rFonts w:ascii="Arial" w:hAnsi="Arial" w:cs="Arial"/>
          <w:bCs/>
          <w:color w:val="000000"/>
        </w:rPr>
        <w:t>Para cada edificação;</w:t>
      </w:r>
    </w:p>
    <w:p w:rsidR="00AC4ED4" w:rsidRPr="00AC4ED4" w:rsidRDefault="00AC4ED4" w:rsidP="00AC4ED4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  <w:r w:rsidRPr="00AC4ED4">
        <w:rPr>
          <w:rFonts w:ascii="Arial" w:hAnsi="Arial" w:cs="Arial"/>
          <w:bCs/>
          <w:color w:val="000000"/>
        </w:rPr>
        <w:t xml:space="preserve">Para cada ponto de consumo. </w:t>
      </w:r>
    </w:p>
    <w:p w:rsidR="00697B53" w:rsidRDefault="00AC4ED4" w:rsidP="00697B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  <w:r w:rsidRPr="00AC4ED4">
        <w:rPr>
          <w:rFonts w:ascii="Arial" w:hAnsi="Arial" w:cs="Arial"/>
          <w:bCs/>
          <w:color w:val="000000"/>
        </w:rPr>
        <w:t xml:space="preserve">As válvulas devem ser identificadas e instaladas em local de fácil acesso, </w:t>
      </w:r>
      <w:r>
        <w:rPr>
          <w:rFonts w:ascii="Arial" w:hAnsi="Arial" w:cs="Arial"/>
          <w:bCs/>
          <w:color w:val="000000"/>
        </w:rPr>
        <w:t>p</w:t>
      </w:r>
      <w:r w:rsidRPr="00AC4ED4">
        <w:rPr>
          <w:rFonts w:ascii="Arial" w:hAnsi="Arial" w:cs="Arial"/>
          <w:bCs/>
          <w:color w:val="000000"/>
        </w:rPr>
        <w:t>rotegidas de forma a se evitar acionamento acidental.</w:t>
      </w:r>
    </w:p>
    <w:p w:rsidR="00AA4419" w:rsidRDefault="00AA4419" w:rsidP="00697B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</w:p>
    <w:p w:rsidR="00125BA5" w:rsidRPr="00125BA5" w:rsidRDefault="00A778BF" w:rsidP="00BB335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bCs/>
          <w:i/>
          <w:color w:val="0000FF"/>
          <w:u w:val="single"/>
        </w:rPr>
      </w:pPr>
      <w:r>
        <w:rPr>
          <w:rFonts w:ascii="Arial" w:hAnsi="Arial" w:cs="Arial"/>
          <w:b/>
          <w:bCs/>
          <w:i/>
          <w:color w:val="0000FF"/>
          <w:u w:val="single"/>
        </w:rPr>
        <w:t>QUANTO A IDENTIFICAÇÃO:</w:t>
      </w:r>
    </w:p>
    <w:p w:rsidR="00125BA5" w:rsidRPr="000A293C" w:rsidRDefault="00125BA5" w:rsidP="00BB335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color w:val="000000"/>
        </w:rPr>
      </w:pPr>
    </w:p>
    <w:p w:rsidR="009C6F15" w:rsidRDefault="009C6F15" w:rsidP="00680DD4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FF"/>
        </w:rPr>
      </w:pPr>
      <w:r w:rsidRPr="00125BA5">
        <w:rPr>
          <w:rFonts w:ascii="Arial" w:hAnsi="Arial" w:cs="Arial"/>
          <w:bCs/>
          <w:color w:val="0000FF"/>
        </w:rPr>
        <w:t xml:space="preserve">  IDENTIFICAÇÃO REDE </w:t>
      </w:r>
      <w:r w:rsidR="00A778BF">
        <w:rPr>
          <w:rFonts w:ascii="Arial" w:hAnsi="Arial" w:cs="Arial"/>
          <w:bCs/>
          <w:color w:val="0000FF"/>
        </w:rPr>
        <w:t xml:space="preserve">DE DISTRIBUIÇÃO </w:t>
      </w:r>
      <w:r w:rsidRPr="00125BA5">
        <w:rPr>
          <w:rFonts w:ascii="Arial" w:hAnsi="Arial" w:cs="Arial"/>
          <w:bCs/>
          <w:color w:val="0000FF"/>
        </w:rPr>
        <w:t>ENTERRADA</w:t>
      </w:r>
    </w:p>
    <w:p w:rsidR="009C6F15" w:rsidRDefault="0005703C" w:rsidP="00783B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noProof/>
          <w:color w:val="000000"/>
        </w:rPr>
        <w:drawing>
          <wp:anchor distT="0" distB="0" distL="114300" distR="114300" simplePos="0" relativeHeight="251667456" behindDoc="0" locked="0" layoutInCell="1" allowOverlap="1" wp14:anchorId="11D89279" wp14:editId="3C77D65E">
            <wp:simplePos x="0" y="0"/>
            <wp:positionH relativeFrom="column">
              <wp:posOffset>1852295</wp:posOffset>
            </wp:positionH>
            <wp:positionV relativeFrom="paragraph">
              <wp:posOffset>519059</wp:posOffset>
            </wp:positionV>
            <wp:extent cx="1463040" cy="640080"/>
            <wp:effectExtent l="0" t="0" r="3810" b="7620"/>
            <wp:wrapSquare wrapText="bothSides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F15" w:rsidRPr="00C61768">
        <w:rPr>
          <w:rFonts w:ascii="Arial" w:hAnsi="Arial" w:cs="Arial"/>
          <w:bCs/>
          <w:color w:val="000000"/>
        </w:rPr>
        <w:t xml:space="preserve">A rede de distribuição interna </w:t>
      </w:r>
      <w:r w:rsidR="00A778BF">
        <w:rPr>
          <w:rFonts w:ascii="Arial" w:hAnsi="Arial" w:cs="Arial"/>
          <w:bCs/>
          <w:color w:val="000000"/>
        </w:rPr>
        <w:t xml:space="preserve">enterrada </w:t>
      </w:r>
      <w:r w:rsidR="009C6F15" w:rsidRPr="00C61768">
        <w:rPr>
          <w:rFonts w:ascii="Arial" w:hAnsi="Arial" w:cs="Arial"/>
          <w:bCs/>
          <w:color w:val="000000"/>
        </w:rPr>
        <w:t>deve ser identificada através da colocação de fita plástica de advertência a 0,20m da geratriz superior do tubo e por toda a sua extensão, como segue:</w:t>
      </w:r>
    </w:p>
    <w:p w:rsidR="00697B53" w:rsidRDefault="00697B53" w:rsidP="002E7E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</w:p>
    <w:p w:rsidR="00697B53" w:rsidRDefault="00697B53" w:rsidP="002E7E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</w:p>
    <w:p w:rsidR="00697B53" w:rsidRDefault="007D2471" w:rsidP="002E7E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  <w:r w:rsidRPr="00697B53">
        <w:rPr>
          <w:rFonts w:ascii="Arial" w:hAnsi="Arial" w:cs="Arial"/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699F6B" wp14:editId="1D157DDA">
                <wp:simplePos x="0" y="0"/>
                <wp:positionH relativeFrom="margin">
                  <wp:posOffset>1438227</wp:posOffset>
                </wp:positionH>
                <wp:positionV relativeFrom="paragraph">
                  <wp:posOffset>30217</wp:posOffset>
                </wp:positionV>
                <wp:extent cx="2363470" cy="1404620"/>
                <wp:effectExtent l="0" t="0" r="0" b="127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34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338" w:rsidRDefault="00697B53">
                            <w:r>
                              <w:t>Figura0</w:t>
                            </w:r>
                            <w:r w:rsidR="00AA4419">
                              <w:t>2</w:t>
                            </w:r>
                            <w:r>
                              <w:t>. Modelo de Fita de Sinalização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699F6B" id="_x0000_s1028" type="#_x0000_t202" style="position:absolute;left:0;text-align:left;margin-left:113.25pt;margin-top:2.4pt;width:186.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" stroked="f">
                <v:textbox style="mso-fit-shape-to-text:t">
                  <w:txbxContent>
                    <w:p w:rsidR="00CF2338" w:rsidRDefault="00697B53">
                      <w:r>
                        <w:t>Figura0</w:t>
                      </w:r>
                      <w:r w:rsidR="00AA4419">
                        <w:t>2</w:t>
                      </w:r>
                      <w:r>
                        <w:t>. Modelo de Fita de Sinalização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97B53" w:rsidRDefault="00697B53" w:rsidP="002E7E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</w:p>
    <w:p w:rsidR="009C6F15" w:rsidRPr="00A778BF" w:rsidRDefault="009C6F15" w:rsidP="00A778B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  <w:r w:rsidRPr="00A778BF">
        <w:rPr>
          <w:rFonts w:ascii="Arial" w:hAnsi="Arial" w:cs="Arial"/>
          <w:bCs/>
          <w:color w:val="000000"/>
        </w:rPr>
        <w:t>Tubulação enterrada em área não pavimentada, (jardins, outros): fita de sinalização enterrada, colocada acima da tubulação, ou placas de concreto com identificação;</w:t>
      </w:r>
    </w:p>
    <w:p w:rsidR="009C6F15" w:rsidRPr="00C61768" w:rsidRDefault="009C6F15" w:rsidP="009C6F15">
      <w:pPr>
        <w:autoSpaceDE w:val="0"/>
        <w:autoSpaceDN w:val="0"/>
        <w:adjustRightInd w:val="0"/>
        <w:ind w:left="851" w:hanging="491"/>
        <w:jc w:val="both"/>
        <w:rPr>
          <w:rFonts w:ascii="Arial" w:hAnsi="Arial" w:cs="Arial"/>
          <w:bCs/>
          <w:color w:val="000000"/>
        </w:rPr>
      </w:pPr>
    </w:p>
    <w:p w:rsidR="009C6F15" w:rsidRPr="00A778BF" w:rsidRDefault="009C6F15" w:rsidP="00A778B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  <w:r w:rsidRPr="00C61768">
        <w:rPr>
          <w:rFonts w:ascii="Arial" w:hAnsi="Arial" w:cs="Arial"/>
          <w:bCs/>
          <w:color w:val="000000"/>
        </w:rPr>
        <w:t>Tubulação enterrada em área pavimentada (calçadas, pátios, outros):</w:t>
      </w:r>
      <w:r w:rsidR="00A778BF">
        <w:rPr>
          <w:rFonts w:ascii="Arial" w:hAnsi="Arial" w:cs="Arial"/>
          <w:bCs/>
          <w:color w:val="000000"/>
        </w:rPr>
        <w:t xml:space="preserve"> </w:t>
      </w:r>
      <w:r w:rsidRPr="00A778BF">
        <w:rPr>
          <w:rFonts w:ascii="Arial" w:hAnsi="Arial" w:cs="Arial"/>
          <w:bCs/>
          <w:color w:val="000000"/>
        </w:rPr>
        <w:t>Fita de sinalização enterrada, colocada acima da tubulação, ou placas de concreto com</w:t>
      </w:r>
      <w:r w:rsidR="00125BA5" w:rsidRPr="00A778BF">
        <w:rPr>
          <w:rFonts w:ascii="Arial" w:hAnsi="Arial" w:cs="Arial"/>
          <w:bCs/>
          <w:color w:val="000000"/>
        </w:rPr>
        <w:t xml:space="preserve"> </w:t>
      </w:r>
      <w:r w:rsidRPr="00A778BF">
        <w:rPr>
          <w:rFonts w:ascii="Arial" w:hAnsi="Arial" w:cs="Arial"/>
          <w:bCs/>
          <w:color w:val="000000"/>
        </w:rPr>
        <w:t xml:space="preserve">identificação; </w:t>
      </w:r>
    </w:p>
    <w:p w:rsidR="009C6F15" w:rsidRPr="00C61768" w:rsidRDefault="009C6F15" w:rsidP="00A778BF">
      <w:pPr>
        <w:autoSpaceDE w:val="0"/>
        <w:autoSpaceDN w:val="0"/>
        <w:adjustRightInd w:val="0"/>
        <w:ind w:left="851" w:hanging="491"/>
        <w:jc w:val="both"/>
        <w:rPr>
          <w:rFonts w:ascii="Arial" w:hAnsi="Arial" w:cs="Arial"/>
          <w:bCs/>
          <w:color w:val="000000"/>
        </w:rPr>
      </w:pPr>
    </w:p>
    <w:p w:rsidR="00A778BF" w:rsidRDefault="009C6F15" w:rsidP="00A778B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  <w:r w:rsidRPr="00A778BF">
        <w:rPr>
          <w:rFonts w:ascii="Arial" w:hAnsi="Arial" w:cs="Arial"/>
          <w:bCs/>
          <w:color w:val="000000"/>
        </w:rPr>
        <w:t>Tubulação enterrada em arruamento (ruas definidas, onde trafegam veículos): fita de sinalização enterrada, colocada acima da tubulação. E identificação de superfície (tachão, placa de sinalização, outros).</w:t>
      </w:r>
    </w:p>
    <w:p w:rsidR="00A778BF" w:rsidRPr="00A778BF" w:rsidRDefault="00A778BF" w:rsidP="00A778BF">
      <w:pPr>
        <w:pStyle w:val="PargrafodaLista"/>
        <w:rPr>
          <w:rFonts w:ascii="Arial" w:hAnsi="Arial" w:cs="Arial"/>
          <w:bCs/>
          <w:color w:val="000000"/>
        </w:rPr>
      </w:pPr>
    </w:p>
    <w:p w:rsidR="009C6F15" w:rsidRPr="00A778BF" w:rsidRDefault="009C6F15" w:rsidP="00A778BF">
      <w:pPr>
        <w:pStyle w:val="PargrafodaLista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  <w:r w:rsidRPr="00A778BF">
        <w:rPr>
          <w:rFonts w:ascii="Arial" w:hAnsi="Arial" w:cs="Arial"/>
          <w:bCs/>
          <w:color w:val="000000"/>
        </w:rPr>
        <w:t>O GÁS LP estará na fase gasosa durante toda a linha de distribuição.</w:t>
      </w:r>
    </w:p>
    <w:p w:rsidR="009C6F15" w:rsidRPr="00C61768" w:rsidRDefault="009C6F15" w:rsidP="009C6F15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bCs/>
          <w:color w:val="000000"/>
        </w:rPr>
      </w:pPr>
    </w:p>
    <w:p w:rsidR="009C6F15" w:rsidRPr="00125BA5" w:rsidRDefault="009C6F15" w:rsidP="00680DD4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FF"/>
        </w:rPr>
      </w:pPr>
      <w:r w:rsidRPr="00125BA5">
        <w:rPr>
          <w:rFonts w:ascii="Arial" w:hAnsi="Arial" w:cs="Arial"/>
          <w:bCs/>
          <w:color w:val="0000FF"/>
        </w:rPr>
        <w:t xml:space="preserve">IDENTIFICAÇÃO REDE </w:t>
      </w:r>
      <w:r w:rsidR="00A778BF">
        <w:rPr>
          <w:rFonts w:ascii="Arial" w:hAnsi="Arial" w:cs="Arial"/>
          <w:bCs/>
          <w:color w:val="0000FF"/>
        </w:rPr>
        <w:t xml:space="preserve">DE DISTRIBUIÇÃO </w:t>
      </w:r>
      <w:r w:rsidRPr="00125BA5">
        <w:rPr>
          <w:rFonts w:ascii="Arial" w:hAnsi="Arial" w:cs="Arial"/>
          <w:bCs/>
          <w:color w:val="0000FF"/>
        </w:rPr>
        <w:t>APARENTE</w:t>
      </w:r>
    </w:p>
    <w:p w:rsidR="009C6F15" w:rsidRPr="00C61768" w:rsidRDefault="009C6F15" w:rsidP="009C6F15">
      <w:pPr>
        <w:pStyle w:val="PargrafodaLista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</w:p>
    <w:p w:rsidR="009C6F15" w:rsidRDefault="009C6F15" w:rsidP="009C6F15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Cs/>
          <w:color w:val="000000"/>
        </w:rPr>
      </w:pPr>
      <w:r w:rsidRPr="00C61768">
        <w:rPr>
          <w:rFonts w:ascii="Arial" w:hAnsi="Arial" w:cs="Arial"/>
          <w:bCs/>
          <w:color w:val="000000"/>
        </w:rPr>
        <w:t>Toda a tubulação que se encontrar aparente deverá ser pintada na cor amarelo</w:t>
      </w:r>
      <w:r w:rsidR="00A778BF">
        <w:rPr>
          <w:rFonts w:ascii="Arial" w:hAnsi="Arial" w:cs="Arial"/>
          <w:bCs/>
          <w:color w:val="000000"/>
        </w:rPr>
        <w:t xml:space="preserve"> </w:t>
      </w:r>
      <w:r w:rsidR="00A778BF" w:rsidRPr="00A778BF">
        <w:rPr>
          <w:rFonts w:ascii="Arial" w:hAnsi="Arial" w:cs="Arial"/>
          <w:bCs/>
          <w:color w:val="000000"/>
        </w:rPr>
        <w:t xml:space="preserve">(código 5Y8/12 do código </w:t>
      </w:r>
      <w:proofErr w:type="spellStart"/>
      <w:r w:rsidR="00A778BF" w:rsidRPr="00A778BF">
        <w:rPr>
          <w:rFonts w:ascii="Arial" w:hAnsi="Arial" w:cs="Arial"/>
          <w:bCs/>
          <w:color w:val="000000"/>
        </w:rPr>
        <w:t>Munsel</w:t>
      </w:r>
      <w:proofErr w:type="spellEnd"/>
      <w:r w:rsidR="00A778BF" w:rsidRPr="00A778BF">
        <w:rPr>
          <w:rFonts w:ascii="Arial" w:hAnsi="Arial" w:cs="Arial"/>
          <w:bCs/>
          <w:color w:val="000000"/>
        </w:rPr>
        <w:t xml:space="preserve"> ou 110 </w:t>
      </w:r>
      <w:proofErr w:type="spellStart"/>
      <w:r w:rsidR="00A778BF" w:rsidRPr="00A778BF">
        <w:rPr>
          <w:rFonts w:ascii="Arial" w:hAnsi="Arial" w:cs="Arial"/>
          <w:bCs/>
          <w:color w:val="000000"/>
        </w:rPr>
        <w:t>Pantone</w:t>
      </w:r>
      <w:proofErr w:type="spellEnd"/>
      <w:r w:rsidR="00697B53">
        <w:rPr>
          <w:rFonts w:ascii="Arial" w:hAnsi="Arial" w:cs="Arial"/>
          <w:bCs/>
          <w:color w:val="000000"/>
        </w:rPr>
        <w:t>)</w:t>
      </w:r>
      <w:r w:rsidRPr="00C61768">
        <w:rPr>
          <w:rFonts w:ascii="Arial" w:hAnsi="Arial" w:cs="Arial"/>
          <w:bCs/>
          <w:color w:val="000000"/>
        </w:rPr>
        <w:t>.</w:t>
      </w:r>
    </w:p>
    <w:p w:rsidR="00A778BF" w:rsidRPr="00A778BF" w:rsidRDefault="00A778BF" w:rsidP="00A778BF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Cs/>
          <w:color w:val="000000"/>
        </w:rPr>
      </w:pPr>
      <w:r w:rsidRPr="00A778BF">
        <w:rPr>
          <w:rFonts w:ascii="Arial" w:hAnsi="Arial" w:cs="Arial"/>
          <w:bCs/>
          <w:color w:val="000000"/>
        </w:rPr>
        <w:t>A rede de distribuição interna aparente pode ser pintada com outra cor e, neste caso, a tubulação deve ser identificada com a palavra “GAS” no máximo a cada 10 metros, ou em cada trecho aparente, o que primeiro ocorrer.</w:t>
      </w:r>
    </w:p>
    <w:p w:rsidR="009C6F15" w:rsidRPr="00F01CF9" w:rsidRDefault="009C6F15" w:rsidP="009C6F15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Cs/>
        </w:rPr>
      </w:pPr>
      <w:r w:rsidRPr="00F01CF9">
        <w:rPr>
          <w:rFonts w:ascii="Arial" w:hAnsi="Arial" w:cs="Arial"/>
          <w:bCs/>
        </w:rPr>
        <w:t>A tubulação que “aflora” nos pontos de consumo deverá ser protegida contra impactos mecânicos, a fim de evitar acidentes com a rede de GLP.</w:t>
      </w:r>
    </w:p>
    <w:p w:rsidR="00A778BF" w:rsidRPr="00A778BF" w:rsidRDefault="00A778BF" w:rsidP="00A778BF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Cs/>
          <w:color w:val="000000"/>
        </w:rPr>
      </w:pPr>
      <w:r w:rsidRPr="00A778BF">
        <w:rPr>
          <w:rFonts w:ascii="Arial" w:hAnsi="Arial" w:cs="Arial"/>
          <w:bCs/>
          <w:color w:val="000000"/>
        </w:rPr>
        <w:t>Válvulas, reguladores e demais acessórios podem estar na sua cor natural ou na mesma cor da tubulação.</w:t>
      </w:r>
    </w:p>
    <w:p w:rsidR="009C6F15" w:rsidRDefault="009C6F15" w:rsidP="009C6F1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</w:p>
    <w:p w:rsidR="009C6F15" w:rsidRPr="00125BA5" w:rsidRDefault="009C6F15" w:rsidP="00680DD4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FF"/>
        </w:rPr>
      </w:pPr>
      <w:r w:rsidRPr="00125BA5">
        <w:rPr>
          <w:rFonts w:ascii="Arial" w:hAnsi="Arial" w:cs="Arial"/>
          <w:bCs/>
          <w:color w:val="0000FF"/>
        </w:rPr>
        <w:t xml:space="preserve">REGISTROS E VÁLVULAS </w:t>
      </w:r>
    </w:p>
    <w:p w:rsidR="009C6F15" w:rsidRPr="00C61768" w:rsidRDefault="009C6F15" w:rsidP="009C6F15">
      <w:pPr>
        <w:pStyle w:val="PargrafodaLista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</w:p>
    <w:p w:rsidR="009C6F15" w:rsidRPr="00B52CA1" w:rsidRDefault="009C6F15" w:rsidP="009C6F1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</w:rPr>
      </w:pPr>
      <w:r w:rsidRPr="00B52CA1">
        <w:rPr>
          <w:rFonts w:ascii="Arial" w:hAnsi="Arial" w:cs="Arial"/>
          <w:bCs/>
        </w:rPr>
        <w:t>Na Central GLP deverá ser instalada uma válvula</w:t>
      </w:r>
      <w:r w:rsidR="00B52CA1">
        <w:rPr>
          <w:rFonts w:ascii="Arial" w:hAnsi="Arial" w:cs="Arial"/>
          <w:bCs/>
        </w:rPr>
        <w:t xml:space="preserve"> de bloqueio automático seguido da válvula de pressão de 1º estágio para diminuir a pressão de saída, manômetro. Após a instalação do “T” em cada lado será instalado um conjunto de válvula d</w:t>
      </w:r>
      <w:r w:rsidRPr="00B52CA1">
        <w:rPr>
          <w:rFonts w:ascii="Arial" w:hAnsi="Arial" w:cs="Arial"/>
          <w:bCs/>
        </w:rPr>
        <w:t>e esfera,</w:t>
      </w:r>
      <w:r w:rsidR="00B52CA1">
        <w:rPr>
          <w:rFonts w:ascii="Arial" w:hAnsi="Arial" w:cs="Arial"/>
          <w:bCs/>
        </w:rPr>
        <w:t xml:space="preserve"> meia luva</w:t>
      </w:r>
      <w:r w:rsidRPr="00B52CA1">
        <w:rPr>
          <w:rFonts w:ascii="Arial" w:hAnsi="Arial" w:cs="Arial"/>
          <w:bCs/>
        </w:rPr>
        <w:t xml:space="preserve"> de diâmetro </w:t>
      </w:r>
      <w:r w:rsidR="00B52CA1" w:rsidRPr="00B52CA1">
        <w:rPr>
          <w:rFonts w:ascii="Arial" w:hAnsi="Arial" w:cs="Arial"/>
          <w:bCs/>
        </w:rPr>
        <w:t>3</w:t>
      </w:r>
      <w:r w:rsidRPr="00B52CA1">
        <w:rPr>
          <w:rFonts w:ascii="Arial" w:hAnsi="Arial" w:cs="Arial"/>
          <w:bCs/>
        </w:rPr>
        <w:t>/</w:t>
      </w:r>
      <w:r w:rsidR="00B52CA1" w:rsidRPr="00B52CA1">
        <w:rPr>
          <w:rFonts w:ascii="Arial" w:hAnsi="Arial" w:cs="Arial"/>
          <w:bCs/>
        </w:rPr>
        <w:t>4</w:t>
      </w:r>
      <w:r w:rsidRPr="00B52CA1">
        <w:rPr>
          <w:rFonts w:ascii="Arial" w:hAnsi="Arial" w:cs="Arial"/>
          <w:bCs/>
        </w:rPr>
        <w:t>”</w:t>
      </w:r>
      <w:r w:rsidR="00B52CA1">
        <w:rPr>
          <w:rFonts w:ascii="Arial" w:hAnsi="Arial" w:cs="Arial"/>
          <w:bCs/>
        </w:rPr>
        <w:t xml:space="preserve">, tampão e </w:t>
      </w:r>
      <w:proofErr w:type="spellStart"/>
      <w:r w:rsidR="00B52CA1">
        <w:rPr>
          <w:rFonts w:ascii="Arial" w:hAnsi="Arial" w:cs="Arial"/>
          <w:bCs/>
        </w:rPr>
        <w:t>pigtal</w:t>
      </w:r>
      <w:proofErr w:type="spellEnd"/>
      <w:r w:rsidR="00B52CA1">
        <w:rPr>
          <w:rFonts w:ascii="Arial" w:hAnsi="Arial" w:cs="Arial"/>
          <w:bCs/>
        </w:rPr>
        <w:t xml:space="preserve"> (mangueira apropriada para uso de GLP).</w:t>
      </w:r>
    </w:p>
    <w:p w:rsidR="009C6F15" w:rsidRPr="00B52CA1" w:rsidRDefault="009C6F15" w:rsidP="009C6F1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</w:rPr>
      </w:pPr>
      <w:r w:rsidRPr="00B52CA1">
        <w:rPr>
          <w:rFonts w:ascii="Arial" w:hAnsi="Arial" w:cs="Arial"/>
          <w:bCs/>
        </w:rPr>
        <w:t xml:space="preserve">No ponto de consumo deverão ser instalados uma válvula de esfera para fechamento e abertura do abastecimento, após </w:t>
      </w:r>
      <w:r w:rsidR="00467131" w:rsidRPr="00B52CA1">
        <w:rPr>
          <w:rFonts w:ascii="Arial" w:hAnsi="Arial" w:cs="Arial"/>
          <w:bCs/>
        </w:rPr>
        <w:t>deverá</w:t>
      </w:r>
      <w:r w:rsidRPr="00B52CA1">
        <w:rPr>
          <w:rFonts w:ascii="Arial" w:hAnsi="Arial" w:cs="Arial"/>
          <w:bCs/>
        </w:rPr>
        <w:t xml:space="preserve"> ser instalado um regulador de pressão de 2º estágio, afim de reduzir a pressão no ponto de consumo para a pressão usual, também deverá ser instalado uma válvula de bloqueio por sobre pressão para maior segurança.</w:t>
      </w:r>
    </w:p>
    <w:p w:rsidR="00697B53" w:rsidRPr="00697B53" w:rsidRDefault="00697B53" w:rsidP="009C6F1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color w:val="0000FF"/>
        </w:rPr>
      </w:pPr>
    </w:p>
    <w:p w:rsidR="00804371" w:rsidRPr="00F0660C" w:rsidRDefault="00804371" w:rsidP="00F0660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bCs/>
          <w:i/>
          <w:color w:val="0000FF"/>
          <w:u w:val="single"/>
        </w:rPr>
      </w:pPr>
      <w:r w:rsidRPr="00F0660C">
        <w:rPr>
          <w:rFonts w:ascii="Arial" w:hAnsi="Arial" w:cs="Arial"/>
          <w:b/>
          <w:bCs/>
          <w:i/>
          <w:color w:val="0000FF"/>
          <w:u w:val="single"/>
        </w:rPr>
        <w:t>CONSIDERAÇÕES GERAIS</w:t>
      </w:r>
    </w:p>
    <w:p w:rsidR="00804371" w:rsidRDefault="00804371"/>
    <w:p w:rsidR="009E5B40" w:rsidRPr="00D11B1C" w:rsidRDefault="009E5B40" w:rsidP="00BE0956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</w:p>
    <w:p w:rsidR="009E5B40" w:rsidRPr="00D11B1C" w:rsidRDefault="00D11B1C" w:rsidP="00BE0956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  <w:r w:rsidRPr="00D11B1C">
        <w:rPr>
          <w:rFonts w:ascii="Arial" w:hAnsi="Arial" w:cs="Arial"/>
          <w:b/>
          <w:bCs/>
        </w:rPr>
        <w:t>REDE PRIMARIA E REDE SECUNDARIA</w:t>
      </w:r>
    </w:p>
    <w:p w:rsidR="00BE0956" w:rsidRDefault="00BE0956" w:rsidP="00BE0956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Cs/>
        </w:rPr>
      </w:pPr>
      <w:r w:rsidRPr="00BE0956">
        <w:rPr>
          <w:rFonts w:ascii="Arial" w:hAnsi="Arial" w:cs="Arial"/>
          <w:bCs/>
        </w:rPr>
        <w:t xml:space="preserve">A rede primaria (150 kPa – alta pressão) é o conjunto </w:t>
      </w:r>
      <w:r>
        <w:rPr>
          <w:rFonts w:ascii="Arial" w:hAnsi="Arial" w:cs="Arial"/>
          <w:bCs/>
        </w:rPr>
        <w:t xml:space="preserve">de tubos, conexões e equipamentos compreendidos entre o regulador de primeiro estágio (inclusive regulador) e o regulador de sendo estagio (exclusive). A pressão existente nesta rede não é compatível com nenhum equipamento de consumo, portanto nada deve ser ligado diretamente nela. </w:t>
      </w:r>
    </w:p>
    <w:p w:rsidR="00BE0956" w:rsidRDefault="007D2471" w:rsidP="00BE0956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Cs/>
        </w:rPr>
      </w:pPr>
      <w:r w:rsidRPr="00697B53">
        <w:rPr>
          <w:rFonts w:ascii="Arial" w:hAnsi="Arial" w:cs="Arial"/>
          <w:bCs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5AE774D" wp14:editId="51238D34">
                <wp:simplePos x="0" y="0"/>
                <wp:positionH relativeFrom="margin">
                  <wp:posOffset>1360805</wp:posOffset>
                </wp:positionH>
                <wp:positionV relativeFrom="paragraph">
                  <wp:posOffset>3093720</wp:posOffset>
                </wp:positionV>
                <wp:extent cx="2794635" cy="1404620"/>
                <wp:effectExtent l="0" t="0" r="5715" b="1270"/>
                <wp:wrapSquare wrapText="bothSides"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6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2471" w:rsidRDefault="007D2471" w:rsidP="007D2471">
                            <w:r>
                              <w:t>Figura03. Tubulação (rede secundária) cozinha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AE774D" id="_x0000_s1029" type="#_x0000_t202" style="position:absolute;left:0;text-align:left;margin-left:107.15pt;margin-top:243.6pt;width:220.0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" stroked="f">
                <v:textbox style="mso-fit-shape-to-text:t">
                  <w:txbxContent>
                    <w:p w:rsidR="007D2471" w:rsidRDefault="007D2471" w:rsidP="007D2471">
                      <w:r>
                        <w:t>Figura03. Tubulação (rede secundária) cozinha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6F57" w:rsidRPr="003F144D">
        <w:rPr>
          <w:noProof/>
        </w:rPr>
        <w:drawing>
          <wp:anchor distT="0" distB="0" distL="114300" distR="114300" simplePos="0" relativeHeight="251658240" behindDoc="0" locked="0" layoutInCell="1" allowOverlap="1" wp14:anchorId="66152987" wp14:editId="54E6FF47">
            <wp:simplePos x="0" y="0"/>
            <wp:positionH relativeFrom="column">
              <wp:posOffset>-412486</wp:posOffset>
            </wp:positionH>
            <wp:positionV relativeFrom="paragraph">
              <wp:posOffset>447675</wp:posOffset>
            </wp:positionV>
            <wp:extent cx="6483350" cy="2809875"/>
            <wp:effectExtent l="0" t="0" r="0" b="9525"/>
            <wp:wrapSquare wrapText="bothSides"/>
            <wp:docPr id="2" name="Imagem 2" descr="C:\Users\arotta\Desktop\g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otta\Desktop\ga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956">
        <w:rPr>
          <w:rFonts w:ascii="Arial" w:hAnsi="Arial" w:cs="Arial"/>
          <w:bCs/>
        </w:rPr>
        <w:t>A rede secundaria (2,8 kPa – baixa pressão) é a rede compreendida entre o regulador de segundo estágio (inclusive) e o ponto de consumo (fogão). Observe a ilustração abaixo:</w:t>
      </w:r>
    </w:p>
    <w:p w:rsidR="00783BE9" w:rsidRDefault="007D2471" w:rsidP="00783BE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75648" behindDoc="0" locked="0" layoutInCell="1" allowOverlap="1" wp14:anchorId="7F9FE5BD" wp14:editId="343D7627">
            <wp:simplePos x="0" y="0"/>
            <wp:positionH relativeFrom="margin">
              <wp:posOffset>94327</wp:posOffset>
            </wp:positionH>
            <wp:positionV relativeFrom="paragraph">
              <wp:posOffset>3039434</wp:posOffset>
            </wp:positionV>
            <wp:extent cx="5391785" cy="2130425"/>
            <wp:effectExtent l="0" t="0" r="0" b="3175"/>
            <wp:wrapSquare wrapText="bothSides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2471" w:rsidRDefault="007D2471" w:rsidP="00783BE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</w:p>
    <w:p w:rsidR="007D2471" w:rsidRDefault="007D2471" w:rsidP="00783BE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73600" behindDoc="0" locked="0" layoutInCell="1" allowOverlap="1" wp14:anchorId="6897DB23" wp14:editId="24BEB857">
            <wp:simplePos x="0" y="0"/>
            <wp:positionH relativeFrom="margin">
              <wp:align>center</wp:align>
            </wp:positionH>
            <wp:positionV relativeFrom="paragraph">
              <wp:posOffset>6218</wp:posOffset>
            </wp:positionV>
            <wp:extent cx="2872105" cy="2490470"/>
            <wp:effectExtent l="0" t="0" r="4445" b="508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105" cy="249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2471" w:rsidRDefault="007D2471" w:rsidP="00783BE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</w:p>
    <w:p w:rsidR="007D2471" w:rsidRDefault="007D2471" w:rsidP="00783BE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</w:p>
    <w:p w:rsidR="007D2471" w:rsidRDefault="007D2471" w:rsidP="00783BE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</w:p>
    <w:p w:rsidR="007D2471" w:rsidRDefault="007D2471" w:rsidP="00783BE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</w:p>
    <w:p w:rsidR="007D2471" w:rsidRDefault="007D2471" w:rsidP="00783BE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</w:p>
    <w:p w:rsidR="007D2471" w:rsidRDefault="007D2471" w:rsidP="00783BE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</w:p>
    <w:p w:rsidR="007D2471" w:rsidRDefault="007D2471" w:rsidP="00783BE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</w:p>
    <w:p w:rsidR="007D2471" w:rsidRDefault="007D2471" w:rsidP="00783BE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</w:p>
    <w:p w:rsidR="007D2471" w:rsidRDefault="007D2471" w:rsidP="00783BE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</w:p>
    <w:p w:rsidR="007D2471" w:rsidRDefault="007D2471" w:rsidP="00783BE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</w:p>
    <w:p w:rsidR="007D2471" w:rsidRDefault="007D2471" w:rsidP="00783BE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  <w:r w:rsidRPr="00697B53">
        <w:rPr>
          <w:rFonts w:ascii="Arial" w:hAnsi="Arial" w:cs="Arial"/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8ABA7E1" wp14:editId="3C54146B">
                <wp:simplePos x="0" y="0"/>
                <wp:positionH relativeFrom="margin">
                  <wp:posOffset>1084580</wp:posOffset>
                </wp:positionH>
                <wp:positionV relativeFrom="paragraph">
                  <wp:posOffset>205369</wp:posOffset>
                </wp:positionV>
                <wp:extent cx="3010535" cy="1404620"/>
                <wp:effectExtent l="0" t="0" r="0" b="1270"/>
                <wp:wrapSquare wrapText="bothSides"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05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2471" w:rsidRDefault="007D2471" w:rsidP="007D2471">
                            <w:r>
                              <w:t>Figura04. Tubulação (rede secundária) laboratórios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ABA7E1" id="_x0000_s1030" type="#_x0000_t202" style="position:absolute;left:0;text-align:left;margin-left:85.4pt;margin-top:16.15pt;width:237.0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" stroked="f">
                <v:textbox style="mso-fit-shape-to-text:t">
                  <w:txbxContent>
                    <w:p w:rsidR="007D2471" w:rsidRDefault="007D2471" w:rsidP="007D2471">
                      <w:r>
                        <w:t>Figura04. Tubulação (rede secundária) laboratórios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D2471" w:rsidRDefault="007D2471" w:rsidP="00783BE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</w:p>
    <w:p w:rsidR="007D2471" w:rsidRDefault="007D2471" w:rsidP="00783BE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</w:p>
    <w:p w:rsidR="003F144D" w:rsidRDefault="00783BE9" w:rsidP="00783BE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  <w:r w:rsidRPr="00783BE9">
        <w:rPr>
          <w:rFonts w:ascii="Arial" w:hAnsi="Arial" w:cs="Arial"/>
          <w:b/>
          <w:bCs/>
        </w:rPr>
        <w:lastRenderedPageBreak/>
        <w:t>SINALIZAÇÃO ABRIGO DE GÁS</w:t>
      </w:r>
    </w:p>
    <w:p w:rsidR="00666F57" w:rsidRPr="003F45D5" w:rsidRDefault="00666F57" w:rsidP="00666F57">
      <w:pPr>
        <w:spacing w:line="360" w:lineRule="auto"/>
        <w:ind w:firstLine="709"/>
        <w:jc w:val="both"/>
        <w:rPr>
          <w:rFonts w:ascii="Arial" w:hAnsi="Arial" w:cs="Arial"/>
        </w:rPr>
      </w:pPr>
      <w:r w:rsidRPr="003F45D5">
        <w:rPr>
          <w:rFonts w:ascii="Arial" w:hAnsi="Arial" w:cs="Arial"/>
        </w:rPr>
        <w:t xml:space="preserve">Segundo as especificações do Corpo de Bombeiros, o uso de sinalização é obrigatório em todas as edificações, conforme o caso, bem como a pintura de tubos e conexões na cor </w:t>
      </w:r>
      <w:r w:rsidRPr="0005703C">
        <w:rPr>
          <w:rFonts w:ascii="Arial" w:hAnsi="Arial" w:cs="Arial"/>
          <w:b/>
        </w:rPr>
        <w:t>amarela,</w:t>
      </w:r>
      <w:r w:rsidRPr="003F45D5">
        <w:rPr>
          <w:rFonts w:ascii="Arial" w:hAnsi="Arial" w:cs="Arial"/>
        </w:rPr>
        <w:t xml:space="preserve"> que facilitem a perfeita identificação dos componentes do sistema de </w:t>
      </w:r>
      <w:r>
        <w:rPr>
          <w:rFonts w:ascii="Arial" w:hAnsi="Arial" w:cs="Arial"/>
        </w:rPr>
        <w:t>gás</w:t>
      </w:r>
      <w:r w:rsidRPr="003F45D5">
        <w:rPr>
          <w:rFonts w:ascii="Arial" w:hAnsi="Arial" w:cs="Arial"/>
        </w:rPr>
        <w:t>.</w:t>
      </w:r>
    </w:p>
    <w:p w:rsidR="00666F57" w:rsidRPr="003F45D5" w:rsidRDefault="00666F57" w:rsidP="00666F57">
      <w:pPr>
        <w:pStyle w:val="Corpodetexto"/>
        <w:spacing w:line="360" w:lineRule="auto"/>
        <w:ind w:firstLine="709"/>
        <w:jc w:val="both"/>
        <w:rPr>
          <w:rFonts w:ascii="Arial" w:hAnsi="Arial" w:cs="Arial"/>
          <w:sz w:val="20"/>
        </w:rPr>
      </w:pPr>
      <w:r w:rsidRPr="003F45D5">
        <w:rPr>
          <w:rFonts w:ascii="Arial" w:hAnsi="Arial" w:cs="Arial"/>
          <w:sz w:val="20"/>
        </w:rPr>
        <w:t>Assim, o projeto prevê o emprego de sinalização para identificar:</w:t>
      </w:r>
    </w:p>
    <w:p w:rsidR="00666F57" w:rsidRDefault="00666F57" w:rsidP="00666F57">
      <w:pPr>
        <w:pStyle w:val="PargrafodaLista"/>
        <w:numPr>
          <w:ilvl w:val="0"/>
          <w:numId w:val="23"/>
        </w:numPr>
        <w:spacing w:line="360" w:lineRule="auto"/>
        <w:ind w:left="0" w:firstLine="709"/>
        <w:jc w:val="both"/>
        <w:rPr>
          <w:rFonts w:ascii="Arial" w:hAnsi="Arial" w:cs="Arial"/>
        </w:rPr>
      </w:pPr>
      <w:r w:rsidRPr="003F45D5">
        <w:rPr>
          <w:rFonts w:ascii="Arial" w:hAnsi="Arial" w:cs="Arial"/>
        </w:rPr>
        <w:t>Extinto</w:t>
      </w:r>
      <w:r>
        <w:rPr>
          <w:rFonts w:ascii="Arial" w:hAnsi="Arial" w:cs="Arial"/>
        </w:rPr>
        <w:t>res pó químico seco</w:t>
      </w:r>
      <w:r w:rsidRPr="003F45D5">
        <w:rPr>
          <w:rFonts w:ascii="Arial" w:hAnsi="Arial" w:cs="Arial"/>
        </w:rPr>
        <w:t>;</w:t>
      </w:r>
    </w:p>
    <w:p w:rsidR="00666F57" w:rsidRDefault="00666F57" w:rsidP="00666F57">
      <w:pPr>
        <w:pStyle w:val="PargrafodaLista"/>
        <w:numPr>
          <w:ilvl w:val="0"/>
          <w:numId w:val="23"/>
        </w:numPr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Placa de sinalização indicando gás inflamável;</w:t>
      </w:r>
    </w:p>
    <w:p w:rsidR="00666F57" w:rsidRDefault="00666F57" w:rsidP="00666F57">
      <w:pPr>
        <w:pStyle w:val="PargrafodaLista"/>
        <w:numPr>
          <w:ilvl w:val="0"/>
          <w:numId w:val="23"/>
        </w:numPr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Placa de sinalização com indicação de proibido fumar.</w:t>
      </w:r>
    </w:p>
    <w:p w:rsidR="0005703C" w:rsidRDefault="0005703C" w:rsidP="00666F57">
      <w:pPr>
        <w:spacing w:line="360" w:lineRule="auto"/>
        <w:jc w:val="both"/>
        <w:rPr>
          <w:rFonts w:ascii="Arial" w:hAnsi="Arial" w:cs="Arial"/>
        </w:rPr>
      </w:pPr>
    </w:p>
    <w:p w:rsidR="00666F57" w:rsidRPr="00666F57" w:rsidRDefault="00105A04" w:rsidP="00666F57">
      <w:pPr>
        <w:spacing w:line="360" w:lineRule="auto"/>
        <w:jc w:val="both"/>
        <w:rPr>
          <w:rFonts w:ascii="Arial" w:hAnsi="Arial" w:cs="Arial"/>
        </w:rPr>
      </w:pPr>
      <w:r w:rsidRPr="00666F57">
        <w:rPr>
          <w:rFonts w:ascii="Arial" w:hAnsi="Arial" w:cs="Arial"/>
          <w:noProof/>
        </w:rPr>
        <w:drawing>
          <wp:anchor distT="0" distB="0" distL="114300" distR="114300" simplePos="0" relativeHeight="251669504" behindDoc="0" locked="0" layoutInCell="1" allowOverlap="1" wp14:anchorId="05C0DD27" wp14:editId="52F0E13B">
            <wp:simplePos x="0" y="0"/>
            <wp:positionH relativeFrom="column">
              <wp:posOffset>1154108</wp:posOffset>
            </wp:positionH>
            <wp:positionV relativeFrom="paragraph">
              <wp:posOffset>6386</wp:posOffset>
            </wp:positionV>
            <wp:extent cx="1201794" cy="848864"/>
            <wp:effectExtent l="0" t="0" r="0" b="8890"/>
            <wp:wrapSquare wrapText="bothSides"/>
            <wp:docPr id="8" name="Imagem 8" descr="C:\Users\arotta\Desktop\IPE090__83974_z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rotta\Desktop\IPE090__83974_zoo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019" cy="854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6F57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8480" behindDoc="0" locked="0" layoutInCell="1" allowOverlap="1" wp14:anchorId="7DFD79E2" wp14:editId="0039D10F">
            <wp:simplePos x="0" y="0"/>
            <wp:positionH relativeFrom="column">
              <wp:posOffset>3000159</wp:posOffset>
            </wp:positionH>
            <wp:positionV relativeFrom="paragraph">
              <wp:posOffset>6386</wp:posOffset>
            </wp:positionV>
            <wp:extent cx="1173193" cy="827699"/>
            <wp:effectExtent l="0" t="0" r="8255" b="0"/>
            <wp:wrapSquare wrapText="bothSides"/>
            <wp:docPr id="9" name="Imagem 9" descr="C:\Users\arotta\Desktop\IPE092__32400_z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rotta\Desktop\IPE092__32400_zoom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612" cy="832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3BE9" w:rsidRDefault="00783BE9" w:rsidP="00783BE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</w:p>
    <w:p w:rsidR="0005703C" w:rsidRDefault="0005703C" w:rsidP="00783BE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</w:p>
    <w:p w:rsidR="0005703C" w:rsidRDefault="0005703C" w:rsidP="00783BE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</w:p>
    <w:p w:rsidR="0005703C" w:rsidRDefault="0005703C" w:rsidP="00783BE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</w:p>
    <w:p w:rsidR="0005703C" w:rsidRDefault="0005703C" w:rsidP="00783BE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</w:p>
    <w:p w:rsidR="000669FD" w:rsidRDefault="000669FD" w:rsidP="00783BE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</w:p>
    <w:p w:rsidR="000669FD" w:rsidRDefault="000669FD" w:rsidP="00783BE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</w:p>
    <w:p w:rsidR="000669FD" w:rsidRDefault="000669FD" w:rsidP="00783BE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</w:p>
    <w:p w:rsidR="0005703C" w:rsidRDefault="0005703C" w:rsidP="00783BE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</w:p>
    <w:p w:rsidR="000669FD" w:rsidRPr="00A946A3" w:rsidRDefault="000669FD" w:rsidP="000669FD">
      <w:pPr>
        <w:rPr>
          <w:rFonts w:ascii="Arial" w:hAnsi="Arial" w:cs="Arial"/>
          <w:color w:val="000000" w:themeColor="text1"/>
          <w:sz w:val="22"/>
        </w:rPr>
      </w:pPr>
      <w:r w:rsidRPr="00A946A3">
        <w:rPr>
          <w:rFonts w:ascii="Arial" w:hAnsi="Arial" w:cs="Arial"/>
          <w:color w:val="000000" w:themeColor="text1"/>
          <w:sz w:val="22"/>
        </w:rPr>
        <w:t xml:space="preserve">     </w:t>
      </w:r>
      <w:r>
        <w:rPr>
          <w:rFonts w:ascii="Arial" w:hAnsi="Arial" w:cs="Arial"/>
          <w:color w:val="000000" w:themeColor="text1"/>
          <w:sz w:val="22"/>
        </w:rPr>
        <w:t xml:space="preserve">      </w:t>
      </w:r>
      <w:r w:rsidRPr="00A946A3">
        <w:rPr>
          <w:rFonts w:ascii="Arial" w:hAnsi="Arial" w:cs="Arial"/>
          <w:color w:val="000000" w:themeColor="text1"/>
          <w:sz w:val="22"/>
        </w:rPr>
        <w:t xml:space="preserve">Cuiabá – MT, </w:t>
      </w:r>
      <w:r>
        <w:rPr>
          <w:rFonts w:ascii="Arial" w:hAnsi="Arial" w:cs="Arial"/>
          <w:color w:val="000000" w:themeColor="text1"/>
          <w:sz w:val="22"/>
        </w:rPr>
        <w:t>25</w:t>
      </w:r>
      <w:r w:rsidRPr="00A946A3">
        <w:rPr>
          <w:rFonts w:ascii="Arial" w:hAnsi="Arial" w:cs="Arial"/>
          <w:color w:val="000000" w:themeColor="text1"/>
          <w:sz w:val="22"/>
        </w:rPr>
        <w:t xml:space="preserve"> de </w:t>
      </w:r>
      <w:r>
        <w:rPr>
          <w:rFonts w:ascii="Arial" w:hAnsi="Arial" w:cs="Arial"/>
          <w:color w:val="000000" w:themeColor="text1"/>
          <w:sz w:val="22"/>
        </w:rPr>
        <w:t>Abril</w:t>
      </w:r>
      <w:r w:rsidRPr="00A946A3">
        <w:rPr>
          <w:rFonts w:ascii="Arial" w:hAnsi="Arial" w:cs="Arial"/>
          <w:color w:val="000000" w:themeColor="text1"/>
          <w:sz w:val="22"/>
        </w:rPr>
        <w:t xml:space="preserve"> de 2017.</w:t>
      </w:r>
    </w:p>
    <w:p w:rsidR="000669FD" w:rsidRPr="00435E5A" w:rsidRDefault="000669FD" w:rsidP="000669FD">
      <w:pPr>
        <w:rPr>
          <w:rFonts w:ascii="Arial" w:hAnsi="Arial" w:cs="Arial"/>
          <w:color w:val="000000" w:themeColor="text1"/>
        </w:rPr>
      </w:pPr>
    </w:p>
    <w:p w:rsidR="000669FD" w:rsidRPr="00435E5A" w:rsidRDefault="000669FD" w:rsidP="000669FD">
      <w:pPr>
        <w:rPr>
          <w:rFonts w:ascii="Arial" w:hAnsi="Arial" w:cs="Arial"/>
          <w:color w:val="000000" w:themeColor="text1"/>
        </w:rPr>
      </w:pPr>
    </w:p>
    <w:p w:rsidR="000669FD" w:rsidRPr="00435E5A" w:rsidRDefault="000669FD" w:rsidP="000669FD">
      <w:pPr>
        <w:rPr>
          <w:rFonts w:ascii="Arial" w:hAnsi="Arial" w:cs="Arial"/>
          <w:color w:val="000000" w:themeColor="text1"/>
        </w:rPr>
      </w:pPr>
    </w:p>
    <w:p w:rsidR="000669FD" w:rsidRDefault="000669FD" w:rsidP="000669FD">
      <w:pPr>
        <w:rPr>
          <w:rFonts w:ascii="Arial" w:hAnsi="Arial" w:cs="Arial"/>
          <w:color w:val="000000" w:themeColor="text1"/>
        </w:rPr>
      </w:pPr>
    </w:p>
    <w:p w:rsidR="000669FD" w:rsidRDefault="000669FD" w:rsidP="000669FD">
      <w:pPr>
        <w:rPr>
          <w:rFonts w:ascii="Arial" w:hAnsi="Arial" w:cs="Arial"/>
          <w:color w:val="000000" w:themeColor="text1"/>
        </w:rPr>
      </w:pPr>
    </w:p>
    <w:p w:rsidR="000669FD" w:rsidRDefault="000669FD" w:rsidP="000669FD">
      <w:pPr>
        <w:rPr>
          <w:rFonts w:ascii="Arial" w:hAnsi="Arial" w:cs="Arial"/>
          <w:color w:val="000000" w:themeColor="text1"/>
        </w:rPr>
      </w:pPr>
    </w:p>
    <w:p w:rsidR="000669FD" w:rsidRDefault="000669FD" w:rsidP="000669FD">
      <w:pPr>
        <w:rPr>
          <w:rFonts w:ascii="Arial" w:hAnsi="Arial" w:cs="Arial"/>
          <w:color w:val="000000" w:themeColor="text1"/>
        </w:rPr>
      </w:pPr>
    </w:p>
    <w:p w:rsidR="000669FD" w:rsidRDefault="000669FD" w:rsidP="000669FD">
      <w:pPr>
        <w:rPr>
          <w:rFonts w:ascii="Arial" w:hAnsi="Arial" w:cs="Arial"/>
          <w:color w:val="000000" w:themeColor="text1"/>
        </w:rPr>
      </w:pPr>
    </w:p>
    <w:p w:rsidR="000669FD" w:rsidRDefault="000669FD" w:rsidP="000669FD">
      <w:pPr>
        <w:rPr>
          <w:rFonts w:ascii="Arial" w:hAnsi="Arial" w:cs="Arial"/>
          <w:color w:val="000000" w:themeColor="text1"/>
        </w:rPr>
      </w:pPr>
    </w:p>
    <w:p w:rsidR="000669FD" w:rsidRDefault="000669FD" w:rsidP="000669FD">
      <w:pPr>
        <w:rPr>
          <w:rFonts w:ascii="Arial" w:hAnsi="Arial" w:cs="Arial"/>
          <w:color w:val="000000" w:themeColor="text1"/>
        </w:rPr>
      </w:pPr>
    </w:p>
    <w:p w:rsidR="000669FD" w:rsidRPr="00435E5A" w:rsidRDefault="000669FD" w:rsidP="000669FD">
      <w:pPr>
        <w:rPr>
          <w:rFonts w:ascii="Arial" w:hAnsi="Arial" w:cs="Arial"/>
          <w:color w:val="000000" w:themeColor="text1"/>
        </w:rPr>
      </w:pPr>
    </w:p>
    <w:p w:rsidR="000669FD" w:rsidRPr="00435E5A" w:rsidRDefault="000669FD" w:rsidP="000669FD">
      <w:pPr>
        <w:jc w:val="center"/>
        <w:rPr>
          <w:rFonts w:ascii="Arial" w:hAnsi="Arial" w:cs="Arial"/>
          <w:color w:val="000000" w:themeColor="text1"/>
        </w:rPr>
      </w:pPr>
      <w:r w:rsidRPr="00435E5A">
        <w:rPr>
          <w:rFonts w:ascii="Arial" w:hAnsi="Arial" w:cs="Arial"/>
          <w:color w:val="000000" w:themeColor="text1"/>
        </w:rPr>
        <w:t>_____________________________________</w:t>
      </w:r>
    </w:p>
    <w:p w:rsidR="000669FD" w:rsidRPr="00435E5A" w:rsidRDefault="000669FD" w:rsidP="000669FD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Isabella Natale</w:t>
      </w:r>
    </w:p>
    <w:p w:rsidR="000669FD" w:rsidRPr="00435E5A" w:rsidRDefault="000669FD" w:rsidP="000669FD">
      <w:pPr>
        <w:jc w:val="center"/>
        <w:rPr>
          <w:rFonts w:ascii="Arial" w:hAnsi="Arial" w:cs="Arial"/>
          <w:color w:val="000000" w:themeColor="text1"/>
        </w:rPr>
      </w:pPr>
      <w:r w:rsidRPr="00435E5A">
        <w:rPr>
          <w:rFonts w:ascii="Arial" w:hAnsi="Arial" w:cs="Arial"/>
          <w:color w:val="000000" w:themeColor="text1"/>
        </w:rPr>
        <w:t>Arquiteta e Urbanista</w:t>
      </w:r>
    </w:p>
    <w:p w:rsidR="000669FD" w:rsidRDefault="000669FD" w:rsidP="000669FD">
      <w:pPr>
        <w:jc w:val="center"/>
        <w:rPr>
          <w:rFonts w:ascii="Arial" w:hAnsi="Arial" w:cs="Arial"/>
          <w:color w:val="000000" w:themeColor="text1"/>
        </w:rPr>
      </w:pPr>
      <w:r w:rsidRPr="00435E5A">
        <w:rPr>
          <w:rFonts w:ascii="Arial" w:hAnsi="Arial" w:cs="Arial"/>
          <w:color w:val="000000" w:themeColor="text1"/>
        </w:rPr>
        <w:t xml:space="preserve">CAU: </w:t>
      </w:r>
      <w:r>
        <w:rPr>
          <w:rFonts w:ascii="Arial" w:hAnsi="Arial" w:cs="Arial"/>
          <w:color w:val="000000" w:themeColor="text1"/>
        </w:rPr>
        <w:t>167355-6</w:t>
      </w:r>
    </w:p>
    <w:p w:rsidR="0005703C" w:rsidRPr="00783BE9" w:rsidRDefault="0005703C" w:rsidP="00783BE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</w:p>
    <w:sectPr w:rsidR="0005703C" w:rsidRPr="00783B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A6898"/>
    <w:multiLevelType w:val="hybridMultilevel"/>
    <w:tmpl w:val="D5EEA1A4"/>
    <w:lvl w:ilvl="0" w:tplc="0416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51034D2"/>
    <w:multiLevelType w:val="hybridMultilevel"/>
    <w:tmpl w:val="21AC1B6C"/>
    <w:lvl w:ilvl="0" w:tplc="E0FE2DD2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4C350C"/>
    <w:multiLevelType w:val="hybridMultilevel"/>
    <w:tmpl w:val="C262CD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970EC"/>
    <w:multiLevelType w:val="hybridMultilevel"/>
    <w:tmpl w:val="CB10BA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232750"/>
    <w:multiLevelType w:val="hybridMultilevel"/>
    <w:tmpl w:val="A2761DF4"/>
    <w:lvl w:ilvl="0" w:tplc="0416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5" w15:restartNumberingAfterBreak="0">
    <w:nsid w:val="2D95759E"/>
    <w:multiLevelType w:val="hybridMultilevel"/>
    <w:tmpl w:val="977E400C"/>
    <w:lvl w:ilvl="0" w:tplc="BD4EE34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155AD7"/>
    <w:multiLevelType w:val="hybridMultilevel"/>
    <w:tmpl w:val="79C2A1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E7E6E"/>
    <w:multiLevelType w:val="hybridMultilevel"/>
    <w:tmpl w:val="7DF0F6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5406A"/>
    <w:multiLevelType w:val="hybridMultilevel"/>
    <w:tmpl w:val="F3C689FC"/>
    <w:lvl w:ilvl="0" w:tplc="6630C6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BA4EFF"/>
    <w:multiLevelType w:val="hybridMultilevel"/>
    <w:tmpl w:val="F3C689FC"/>
    <w:lvl w:ilvl="0" w:tplc="6630C6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EA5DF1"/>
    <w:multiLevelType w:val="hybridMultilevel"/>
    <w:tmpl w:val="07DCD5E0"/>
    <w:lvl w:ilvl="0" w:tplc="14E298E4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00000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B9008D5"/>
    <w:multiLevelType w:val="hybridMultilevel"/>
    <w:tmpl w:val="1136975A"/>
    <w:lvl w:ilvl="0" w:tplc="DD9E6F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8C1CC2"/>
    <w:multiLevelType w:val="hybridMultilevel"/>
    <w:tmpl w:val="F3C689FC"/>
    <w:lvl w:ilvl="0" w:tplc="6630C6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CD4159"/>
    <w:multiLevelType w:val="hybridMultilevel"/>
    <w:tmpl w:val="E0DCFC2C"/>
    <w:lvl w:ilvl="0" w:tplc="78E0C18A">
      <w:start w:val="1"/>
      <w:numFmt w:val="upp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12709D2"/>
    <w:multiLevelType w:val="hybridMultilevel"/>
    <w:tmpl w:val="73B6B16A"/>
    <w:lvl w:ilvl="0" w:tplc="78E0C18A">
      <w:start w:val="1"/>
      <w:numFmt w:val="upp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9013EBD"/>
    <w:multiLevelType w:val="hybridMultilevel"/>
    <w:tmpl w:val="1C986598"/>
    <w:lvl w:ilvl="0" w:tplc="9DC080D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1140FD5"/>
    <w:multiLevelType w:val="hybridMultilevel"/>
    <w:tmpl w:val="73B6B16A"/>
    <w:lvl w:ilvl="0" w:tplc="78E0C18A">
      <w:start w:val="1"/>
      <w:numFmt w:val="upp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4741499"/>
    <w:multiLevelType w:val="hybridMultilevel"/>
    <w:tmpl w:val="965830A6"/>
    <w:lvl w:ilvl="0" w:tplc="CF4AEA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A6322E"/>
    <w:multiLevelType w:val="hybridMultilevel"/>
    <w:tmpl w:val="24923EA4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B207686"/>
    <w:multiLevelType w:val="hybridMultilevel"/>
    <w:tmpl w:val="8286E5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63193"/>
    <w:multiLevelType w:val="hybridMultilevel"/>
    <w:tmpl w:val="68D059B4"/>
    <w:lvl w:ilvl="0" w:tplc="BD4EE34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2020920"/>
    <w:multiLevelType w:val="multilevel"/>
    <w:tmpl w:val="6AF0D91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 w15:restartNumberingAfterBreak="0">
    <w:nsid w:val="78BA44E2"/>
    <w:multiLevelType w:val="hybridMultilevel"/>
    <w:tmpl w:val="C95C8588"/>
    <w:lvl w:ilvl="0" w:tplc="270691C2">
      <w:start w:val="1"/>
      <w:numFmt w:val="upperRoman"/>
      <w:lvlText w:val="%1)"/>
      <w:lvlJc w:val="left"/>
      <w:pPr>
        <w:ind w:left="1440" w:hanging="720"/>
      </w:pPr>
      <w:rPr>
        <w:rFonts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21"/>
  </w:num>
  <w:num w:numId="3">
    <w:abstractNumId w:val="2"/>
  </w:num>
  <w:num w:numId="4">
    <w:abstractNumId w:val="1"/>
  </w:num>
  <w:num w:numId="5">
    <w:abstractNumId w:val="6"/>
  </w:num>
  <w:num w:numId="6">
    <w:abstractNumId w:val="11"/>
  </w:num>
  <w:num w:numId="7">
    <w:abstractNumId w:val="9"/>
  </w:num>
  <w:num w:numId="8">
    <w:abstractNumId w:val="17"/>
  </w:num>
  <w:num w:numId="9">
    <w:abstractNumId w:val="8"/>
  </w:num>
  <w:num w:numId="10">
    <w:abstractNumId w:val="10"/>
  </w:num>
  <w:num w:numId="11">
    <w:abstractNumId w:val="22"/>
  </w:num>
  <w:num w:numId="12">
    <w:abstractNumId w:val="12"/>
  </w:num>
  <w:num w:numId="13">
    <w:abstractNumId w:val="4"/>
  </w:num>
  <w:num w:numId="14">
    <w:abstractNumId w:val="3"/>
  </w:num>
  <w:num w:numId="15">
    <w:abstractNumId w:val="7"/>
  </w:num>
  <w:num w:numId="16">
    <w:abstractNumId w:val="16"/>
  </w:num>
  <w:num w:numId="17">
    <w:abstractNumId w:val="15"/>
  </w:num>
  <w:num w:numId="18">
    <w:abstractNumId w:val="18"/>
  </w:num>
  <w:num w:numId="19">
    <w:abstractNumId w:val="5"/>
  </w:num>
  <w:num w:numId="20">
    <w:abstractNumId w:val="20"/>
  </w:num>
  <w:num w:numId="21">
    <w:abstractNumId w:val="13"/>
  </w:num>
  <w:num w:numId="22">
    <w:abstractNumId w:val="1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15"/>
    <w:rsid w:val="000255DB"/>
    <w:rsid w:val="0005703C"/>
    <w:rsid w:val="000669FD"/>
    <w:rsid w:val="000A293C"/>
    <w:rsid w:val="000D0390"/>
    <w:rsid w:val="00105A04"/>
    <w:rsid w:val="00125BA5"/>
    <w:rsid w:val="001A71B0"/>
    <w:rsid w:val="001C0CFB"/>
    <w:rsid w:val="001E289A"/>
    <w:rsid w:val="002D5ADD"/>
    <w:rsid w:val="002E7E07"/>
    <w:rsid w:val="00364009"/>
    <w:rsid w:val="003F144D"/>
    <w:rsid w:val="003F4530"/>
    <w:rsid w:val="00467131"/>
    <w:rsid w:val="00647257"/>
    <w:rsid w:val="00666F57"/>
    <w:rsid w:val="00680DD4"/>
    <w:rsid w:val="00697B53"/>
    <w:rsid w:val="006C14EE"/>
    <w:rsid w:val="006E4141"/>
    <w:rsid w:val="00783BE9"/>
    <w:rsid w:val="007D2471"/>
    <w:rsid w:val="00804371"/>
    <w:rsid w:val="009B5622"/>
    <w:rsid w:val="009C6F15"/>
    <w:rsid w:val="009E5B40"/>
    <w:rsid w:val="00A41081"/>
    <w:rsid w:val="00A56478"/>
    <w:rsid w:val="00A778BF"/>
    <w:rsid w:val="00AA4419"/>
    <w:rsid w:val="00AC481D"/>
    <w:rsid w:val="00AC4ED4"/>
    <w:rsid w:val="00AC6004"/>
    <w:rsid w:val="00B52CA1"/>
    <w:rsid w:val="00B822F1"/>
    <w:rsid w:val="00BB335E"/>
    <w:rsid w:val="00BC2BD1"/>
    <w:rsid w:val="00BE0956"/>
    <w:rsid w:val="00C04DFA"/>
    <w:rsid w:val="00CF2338"/>
    <w:rsid w:val="00D11B1C"/>
    <w:rsid w:val="00D449A5"/>
    <w:rsid w:val="00D924C5"/>
    <w:rsid w:val="00DB6B99"/>
    <w:rsid w:val="00E46D65"/>
    <w:rsid w:val="00E61887"/>
    <w:rsid w:val="00E7561E"/>
    <w:rsid w:val="00EC263B"/>
    <w:rsid w:val="00EE6DCF"/>
    <w:rsid w:val="00F01CF9"/>
    <w:rsid w:val="00F0660C"/>
    <w:rsid w:val="00F5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F9D21-B12A-4841-962E-856F515C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C6F15"/>
    <w:pPr>
      <w:ind w:left="720"/>
      <w:contextualSpacing/>
    </w:pPr>
  </w:style>
  <w:style w:type="paragraph" w:styleId="Corpodetexto">
    <w:name w:val="Body Text"/>
    <w:basedOn w:val="Normal"/>
    <w:link w:val="CorpodetextoChar"/>
    <w:rsid w:val="00666F57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666F5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23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2338"/>
    <w:rPr>
      <w:rFonts w:ascii="Segoe UI" w:eastAsia="Times New Roman" w:hAnsi="Segoe UI" w:cs="Segoe UI"/>
      <w:sz w:val="18"/>
      <w:szCs w:val="18"/>
      <w:lang w:eastAsia="pt-BR"/>
    </w:rPr>
  </w:style>
  <w:style w:type="paragraph" w:styleId="Ttulo">
    <w:name w:val="Title"/>
    <w:basedOn w:val="Normal"/>
    <w:link w:val="TtuloChar"/>
    <w:uiPriority w:val="10"/>
    <w:qFormat/>
    <w:rsid w:val="009B5622"/>
    <w:pPr>
      <w:jc w:val="center"/>
    </w:pPr>
    <w:rPr>
      <w:b/>
      <w:sz w:val="28"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10"/>
    <w:rsid w:val="009B5622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5622"/>
    <w:pPr>
      <w:numPr>
        <w:ilvl w:val="1"/>
      </w:numPr>
      <w:spacing w:after="160" w:line="259" w:lineRule="auto"/>
      <w:jc w:val="both"/>
    </w:pPr>
    <w:rPr>
      <w:rFonts w:asciiTheme="minorHAnsi" w:eastAsiaTheme="minorEastAsia" w:hAnsiTheme="minorHAnsi" w:cstheme="minorBidi"/>
      <w:color w:val="5A5A5A" w:themeColor="text1" w:themeTint="A5"/>
      <w:spacing w:val="10"/>
      <w:sz w:val="22"/>
      <w:szCs w:val="22"/>
      <w:lang w:eastAsia="ja-JP"/>
    </w:rPr>
  </w:style>
  <w:style w:type="character" w:customStyle="1" w:styleId="SubttuloChar">
    <w:name w:val="Subtítulo Char"/>
    <w:basedOn w:val="Fontepargpadro"/>
    <w:link w:val="Subttulo"/>
    <w:uiPriority w:val="11"/>
    <w:rsid w:val="009B5622"/>
    <w:rPr>
      <w:rFonts w:eastAsiaTheme="minorEastAsia"/>
      <w:color w:val="5A5A5A" w:themeColor="text1" w:themeTint="A5"/>
      <w:spacing w:val="1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9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9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1908</Words>
  <Characters>10309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Castro Rotta</dc:creator>
  <cp:keywords/>
  <dc:description/>
  <cp:lastModifiedBy>Gabriela Pieretto da Costa</cp:lastModifiedBy>
  <cp:revision>2</cp:revision>
  <cp:lastPrinted>2017-04-27T21:12:00Z</cp:lastPrinted>
  <dcterms:created xsi:type="dcterms:W3CDTF">2017-04-27T21:18:00Z</dcterms:created>
  <dcterms:modified xsi:type="dcterms:W3CDTF">2017-04-27T21:18:00Z</dcterms:modified>
</cp:coreProperties>
</file>